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212"/>
      </w:tblGrid>
      <w:tr w:rsidR="00530809" w:rsidRPr="004C6B3D" w14:paraId="6C0A56E2" w14:textId="77777777" w:rsidTr="00530809">
        <w:tc>
          <w:tcPr>
            <w:tcW w:w="9212" w:type="dxa"/>
          </w:tcPr>
          <w:p w14:paraId="2FBFCC38" w14:textId="77777777" w:rsidR="00530809" w:rsidRPr="004C6B3D" w:rsidRDefault="00530809" w:rsidP="00530809">
            <w:pPr>
              <w:jc w:val="center"/>
              <w:rPr>
                <w:rFonts w:ascii="Arial" w:hAnsi="Arial" w:cs="Arial"/>
                <w:b/>
                <w:sz w:val="20"/>
                <w:szCs w:val="20"/>
              </w:rPr>
            </w:pPr>
            <w:r w:rsidRPr="004C6B3D">
              <w:rPr>
                <w:rFonts w:ascii="Arial" w:hAnsi="Arial" w:cs="Arial"/>
                <w:b/>
                <w:sz w:val="20"/>
                <w:szCs w:val="20"/>
              </w:rPr>
              <w:t xml:space="preserve">Agenda social filière administrative : l’évolution des métiers au sein du MENJS-MESRI </w:t>
            </w:r>
          </w:p>
        </w:tc>
      </w:tr>
    </w:tbl>
    <w:p w14:paraId="63B4146F" w14:textId="77777777" w:rsidR="00DE6E97" w:rsidRPr="004C6B3D" w:rsidRDefault="007F5B32" w:rsidP="003428AD">
      <w:pPr>
        <w:spacing w:before="240"/>
        <w:jc w:val="both"/>
        <w:rPr>
          <w:rFonts w:ascii="Arial" w:hAnsi="Arial" w:cs="Arial"/>
          <w:sz w:val="20"/>
          <w:szCs w:val="20"/>
        </w:rPr>
      </w:pPr>
      <w:r>
        <w:rPr>
          <w:rFonts w:ascii="Arial" w:hAnsi="Arial" w:cs="Arial"/>
          <w:sz w:val="20"/>
          <w:szCs w:val="20"/>
        </w:rPr>
        <w:t xml:space="preserve">Les évolutions présentes et à </w:t>
      </w:r>
      <w:r w:rsidR="008264B8" w:rsidRPr="004C6B3D">
        <w:rPr>
          <w:rFonts w:ascii="Arial" w:hAnsi="Arial" w:cs="Arial"/>
          <w:sz w:val="20"/>
          <w:szCs w:val="20"/>
        </w:rPr>
        <w:t xml:space="preserve">venir des métiers de la filière administrative </w:t>
      </w:r>
      <w:r w:rsidR="00DE6E97" w:rsidRPr="004C6B3D">
        <w:rPr>
          <w:rFonts w:ascii="Arial" w:hAnsi="Arial" w:cs="Arial"/>
          <w:sz w:val="20"/>
          <w:szCs w:val="20"/>
        </w:rPr>
        <w:t xml:space="preserve">répondent </w:t>
      </w:r>
      <w:r w:rsidR="00D43F41" w:rsidRPr="004C6B3D">
        <w:rPr>
          <w:rFonts w:ascii="Arial" w:hAnsi="Arial" w:cs="Arial"/>
          <w:sz w:val="20"/>
          <w:szCs w:val="20"/>
        </w:rPr>
        <w:t xml:space="preserve">à </w:t>
      </w:r>
      <w:r w:rsidR="008264B8" w:rsidRPr="004C6B3D">
        <w:rPr>
          <w:rFonts w:ascii="Arial" w:hAnsi="Arial" w:cs="Arial"/>
          <w:sz w:val="20"/>
          <w:szCs w:val="20"/>
        </w:rPr>
        <w:t>des nouveaux besoins d</w:t>
      </w:r>
      <w:r w:rsidR="00DE6E97" w:rsidRPr="004C6B3D">
        <w:rPr>
          <w:rFonts w:ascii="Arial" w:hAnsi="Arial" w:cs="Arial"/>
          <w:sz w:val="20"/>
          <w:szCs w:val="20"/>
        </w:rPr>
        <w:t>u service public et s’inscrivent dans</w:t>
      </w:r>
      <w:r w:rsidR="00DE6E97" w:rsidRPr="004C6B3D">
        <w:rPr>
          <w:rFonts w:ascii="Arial" w:hAnsi="Arial" w:cs="Arial"/>
          <w:b/>
          <w:sz w:val="20"/>
          <w:szCs w:val="20"/>
        </w:rPr>
        <w:t xml:space="preserve"> </w:t>
      </w:r>
      <w:r w:rsidR="00DE6E97" w:rsidRPr="004C6B3D">
        <w:rPr>
          <w:rFonts w:ascii="Arial" w:hAnsi="Arial" w:cs="Arial"/>
          <w:sz w:val="20"/>
          <w:szCs w:val="20"/>
        </w:rPr>
        <w:t>des évolutions constatées</w:t>
      </w:r>
      <w:r w:rsidR="00D43F41" w:rsidRPr="004C6B3D">
        <w:rPr>
          <w:rFonts w:ascii="Arial" w:hAnsi="Arial" w:cs="Arial"/>
          <w:sz w:val="20"/>
          <w:szCs w:val="20"/>
        </w:rPr>
        <w:t>,</w:t>
      </w:r>
      <w:r w:rsidR="00DE6E97" w:rsidRPr="004C6B3D">
        <w:rPr>
          <w:rFonts w:ascii="Arial" w:hAnsi="Arial" w:cs="Arial"/>
          <w:sz w:val="20"/>
          <w:szCs w:val="20"/>
        </w:rPr>
        <w:t xml:space="preserve"> notamment avec l’intervention croissante des </w:t>
      </w:r>
      <w:r w:rsidR="001B3B9A">
        <w:rPr>
          <w:rFonts w:ascii="Arial" w:hAnsi="Arial" w:cs="Arial"/>
          <w:sz w:val="20"/>
          <w:szCs w:val="20"/>
        </w:rPr>
        <w:t>collectivités territoriales (</w:t>
      </w:r>
      <w:r w:rsidR="00DE6E97" w:rsidRPr="004C6B3D">
        <w:rPr>
          <w:rFonts w:ascii="Arial" w:hAnsi="Arial" w:cs="Arial"/>
          <w:sz w:val="20"/>
          <w:szCs w:val="20"/>
        </w:rPr>
        <w:t>CT</w:t>
      </w:r>
      <w:r w:rsidR="001B3B9A">
        <w:rPr>
          <w:rFonts w:ascii="Arial" w:hAnsi="Arial" w:cs="Arial"/>
          <w:sz w:val="20"/>
          <w:szCs w:val="20"/>
        </w:rPr>
        <w:t>)</w:t>
      </w:r>
      <w:r w:rsidR="00DE6E97" w:rsidRPr="004C6B3D">
        <w:rPr>
          <w:rFonts w:ascii="Arial" w:hAnsi="Arial" w:cs="Arial"/>
          <w:sz w:val="20"/>
          <w:szCs w:val="20"/>
        </w:rPr>
        <w:t xml:space="preserve"> dans les EPLE et la relative désaffection des élèves IRA pour les fonctions d’adjoint gestionnaire.</w:t>
      </w:r>
    </w:p>
    <w:p w14:paraId="0E80DBBD" w14:textId="77777777" w:rsidR="00DE6E97" w:rsidRPr="004C6B3D" w:rsidRDefault="00D43F41" w:rsidP="007F5B32">
      <w:pPr>
        <w:jc w:val="both"/>
        <w:rPr>
          <w:rFonts w:ascii="Arial" w:hAnsi="Arial" w:cs="Arial"/>
          <w:sz w:val="20"/>
          <w:szCs w:val="20"/>
        </w:rPr>
      </w:pPr>
      <w:r w:rsidRPr="004C6B3D">
        <w:rPr>
          <w:rFonts w:ascii="Arial" w:hAnsi="Arial" w:cs="Arial"/>
          <w:sz w:val="20"/>
          <w:szCs w:val="20"/>
        </w:rPr>
        <w:t>L</w:t>
      </w:r>
      <w:r w:rsidR="007F5B32">
        <w:rPr>
          <w:rFonts w:ascii="Arial" w:hAnsi="Arial" w:cs="Arial"/>
          <w:sz w:val="20"/>
          <w:szCs w:val="20"/>
        </w:rPr>
        <w:t>’</w:t>
      </w:r>
      <w:r w:rsidR="00DE6E97" w:rsidRPr="004C6B3D">
        <w:rPr>
          <w:rFonts w:ascii="Arial" w:hAnsi="Arial" w:cs="Arial"/>
          <w:sz w:val="20"/>
          <w:szCs w:val="20"/>
        </w:rPr>
        <w:t xml:space="preserve">évolution </w:t>
      </w:r>
      <w:r w:rsidRPr="004C6B3D">
        <w:rPr>
          <w:rFonts w:ascii="Arial" w:hAnsi="Arial" w:cs="Arial"/>
          <w:sz w:val="20"/>
          <w:szCs w:val="20"/>
        </w:rPr>
        <w:t xml:space="preserve">des </w:t>
      </w:r>
      <w:r w:rsidR="00DE6E97" w:rsidRPr="004C6B3D">
        <w:rPr>
          <w:rFonts w:ascii="Arial" w:hAnsi="Arial" w:cs="Arial"/>
          <w:sz w:val="20"/>
          <w:szCs w:val="20"/>
        </w:rPr>
        <w:t xml:space="preserve">métiers </w:t>
      </w:r>
      <w:r w:rsidR="007F5B32">
        <w:rPr>
          <w:rFonts w:ascii="Arial" w:hAnsi="Arial" w:cs="Arial"/>
          <w:sz w:val="20"/>
          <w:szCs w:val="20"/>
        </w:rPr>
        <w:t>est</w:t>
      </w:r>
      <w:r w:rsidR="00DE6E97" w:rsidRPr="004C6B3D">
        <w:rPr>
          <w:rFonts w:ascii="Arial" w:hAnsi="Arial" w:cs="Arial"/>
          <w:sz w:val="20"/>
          <w:szCs w:val="20"/>
        </w:rPr>
        <w:t xml:space="preserve"> une opportunité pour les agents de la filière administrative leur permettant d’exercer de nouvelles fonctions, </w:t>
      </w:r>
      <w:r w:rsidRPr="004C6B3D">
        <w:rPr>
          <w:rFonts w:ascii="Arial" w:hAnsi="Arial" w:cs="Arial"/>
          <w:sz w:val="20"/>
          <w:szCs w:val="20"/>
        </w:rPr>
        <w:t>d’</w:t>
      </w:r>
      <w:r w:rsidR="00DE6E97" w:rsidRPr="004C6B3D">
        <w:rPr>
          <w:rFonts w:ascii="Arial" w:hAnsi="Arial" w:cs="Arial"/>
          <w:sz w:val="20"/>
          <w:szCs w:val="20"/>
        </w:rPr>
        <w:t xml:space="preserve">acquérir et </w:t>
      </w:r>
      <w:r w:rsidRPr="004C6B3D">
        <w:rPr>
          <w:rFonts w:ascii="Arial" w:hAnsi="Arial" w:cs="Arial"/>
          <w:sz w:val="20"/>
          <w:szCs w:val="20"/>
        </w:rPr>
        <w:t xml:space="preserve">de </w:t>
      </w:r>
      <w:r w:rsidR="00DE6E97" w:rsidRPr="004C6B3D">
        <w:rPr>
          <w:rFonts w:ascii="Arial" w:hAnsi="Arial" w:cs="Arial"/>
          <w:sz w:val="20"/>
          <w:szCs w:val="20"/>
        </w:rPr>
        <w:t xml:space="preserve">développer de nouvelles compétences et offre ainsi </w:t>
      </w:r>
      <w:r w:rsidRPr="004C6B3D">
        <w:rPr>
          <w:rFonts w:ascii="Arial" w:hAnsi="Arial" w:cs="Arial"/>
          <w:sz w:val="20"/>
          <w:szCs w:val="20"/>
        </w:rPr>
        <w:t xml:space="preserve">une </w:t>
      </w:r>
      <w:r w:rsidR="00DE6E97" w:rsidRPr="004C6B3D">
        <w:rPr>
          <w:rFonts w:ascii="Arial" w:hAnsi="Arial" w:cs="Arial"/>
          <w:sz w:val="20"/>
          <w:szCs w:val="20"/>
        </w:rPr>
        <w:t>perspective</w:t>
      </w:r>
      <w:r w:rsidRPr="004C6B3D">
        <w:rPr>
          <w:rFonts w:ascii="Arial" w:hAnsi="Arial" w:cs="Arial"/>
          <w:sz w:val="20"/>
          <w:szCs w:val="20"/>
        </w:rPr>
        <w:t xml:space="preserve"> renouvelée</w:t>
      </w:r>
      <w:r w:rsidR="00DE6E97" w:rsidRPr="004C6B3D">
        <w:rPr>
          <w:rFonts w:ascii="Arial" w:hAnsi="Arial" w:cs="Arial"/>
          <w:sz w:val="20"/>
          <w:szCs w:val="20"/>
        </w:rPr>
        <w:t xml:space="preserve"> de</w:t>
      </w:r>
      <w:r w:rsidRPr="004C6B3D">
        <w:rPr>
          <w:rFonts w:ascii="Arial" w:hAnsi="Arial" w:cs="Arial"/>
          <w:sz w:val="20"/>
          <w:szCs w:val="20"/>
        </w:rPr>
        <w:t>s</w:t>
      </w:r>
      <w:r w:rsidR="007F5B32">
        <w:rPr>
          <w:rFonts w:ascii="Arial" w:hAnsi="Arial" w:cs="Arial"/>
          <w:sz w:val="20"/>
          <w:szCs w:val="20"/>
        </w:rPr>
        <w:t xml:space="preserve"> parcours professionnel</w:t>
      </w:r>
      <w:r w:rsidR="00DE6E97" w:rsidRPr="004C6B3D">
        <w:rPr>
          <w:rFonts w:ascii="Arial" w:hAnsi="Arial" w:cs="Arial"/>
          <w:sz w:val="20"/>
          <w:szCs w:val="20"/>
        </w:rPr>
        <w:t xml:space="preserve">s. </w:t>
      </w:r>
    </w:p>
    <w:p w14:paraId="007AAD58" w14:textId="77777777" w:rsidR="00D43F41" w:rsidRPr="004C6B3D" w:rsidRDefault="00D43F41" w:rsidP="007F5B32">
      <w:pPr>
        <w:jc w:val="both"/>
        <w:rPr>
          <w:rFonts w:ascii="Arial" w:hAnsi="Arial" w:cs="Arial"/>
          <w:sz w:val="20"/>
          <w:szCs w:val="20"/>
        </w:rPr>
      </w:pPr>
      <w:r w:rsidRPr="004C6B3D">
        <w:rPr>
          <w:rFonts w:ascii="Arial" w:hAnsi="Arial" w:cs="Arial"/>
          <w:sz w:val="20"/>
          <w:szCs w:val="20"/>
        </w:rPr>
        <w:t>L’</w:t>
      </w:r>
      <w:r w:rsidR="007F5B32">
        <w:rPr>
          <w:rFonts w:ascii="Arial" w:hAnsi="Arial" w:cs="Arial"/>
          <w:sz w:val="20"/>
          <w:szCs w:val="20"/>
        </w:rPr>
        <w:t>évolution</w:t>
      </w:r>
      <w:r w:rsidR="00DE6E97" w:rsidRPr="004C6B3D">
        <w:rPr>
          <w:rFonts w:ascii="Arial" w:hAnsi="Arial" w:cs="Arial"/>
          <w:sz w:val="20"/>
          <w:szCs w:val="20"/>
        </w:rPr>
        <w:t xml:space="preserve"> des métiers de la filière administrative </w:t>
      </w:r>
      <w:r w:rsidRPr="004C6B3D">
        <w:rPr>
          <w:rFonts w:ascii="Arial" w:hAnsi="Arial" w:cs="Arial"/>
          <w:sz w:val="20"/>
          <w:szCs w:val="20"/>
        </w:rPr>
        <w:t xml:space="preserve">est un enjeu majeur qui nécessite une concertation dans le cadre de l’agenda social. </w:t>
      </w:r>
    </w:p>
    <w:p w14:paraId="7D58A79C" w14:textId="77777777" w:rsidR="00AF20D4" w:rsidRPr="004C6B3D" w:rsidRDefault="00BE26A8" w:rsidP="00AF20D4">
      <w:pPr>
        <w:rPr>
          <w:rFonts w:ascii="Arial" w:hAnsi="Arial" w:cs="Arial"/>
          <w:b/>
          <w:sz w:val="20"/>
          <w:szCs w:val="20"/>
          <w:u w:val="single"/>
        </w:rPr>
      </w:pPr>
      <w:r w:rsidRPr="004C6B3D">
        <w:rPr>
          <w:rFonts w:ascii="Arial" w:hAnsi="Arial" w:cs="Arial"/>
          <w:b/>
          <w:sz w:val="20"/>
          <w:szCs w:val="20"/>
          <w:u w:val="single"/>
        </w:rPr>
        <w:t xml:space="preserve">I Des fonctions </w:t>
      </w:r>
      <w:r w:rsidR="00D825EA" w:rsidRPr="004C6B3D">
        <w:rPr>
          <w:rFonts w:ascii="Arial" w:hAnsi="Arial" w:cs="Arial"/>
          <w:b/>
          <w:sz w:val="20"/>
          <w:szCs w:val="20"/>
          <w:u w:val="single"/>
        </w:rPr>
        <w:t xml:space="preserve">récemment déployées </w:t>
      </w:r>
      <w:r w:rsidR="002E16C6" w:rsidRPr="004C6B3D">
        <w:rPr>
          <w:rFonts w:ascii="Arial" w:hAnsi="Arial" w:cs="Arial"/>
          <w:b/>
          <w:sz w:val="20"/>
          <w:szCs w:val="20"/>
          <w:u w:val="single"/>
        </w:rPr>
        <w:t xml:space="preserve">dont la fiche de poste est à entériner </w:t>
      </w:r>
      <w:r w:rsidR="00AE4B79" w:rsidRPr="004C6B3D">
        <w:rPr>
          <w:rFonts w:ascii="Arial" w:hAnsi="Arial" w:cs="Arial"/>
          <w:b/>
          <w:sz w:val="20"/>
          <w:szCs w:val="20"/>
          <w:u w:val="single"/>
        </w:rPr>
        <w:t>:</w:t>
      </w:r>
    </w:p>
    <w:p w14:paraId="4D23170A" w14:textId="22495785" w:rsidR="009D0C9B" w:rsidRPr="004C6B3D" w:rsidRDefault="002E16C6" w:rsidP="009D0C9B">
      <w:pPr>
        <w:spacing w:after="0"/>
        <w:jc w:val="both"/>
        <w:rPr>
          <w:rFonts w:ascii="Arial" w:hAnsi="Arial" w:cs="Arial"/>
          <w:sz w:val="20"/>
          <w:szCs w:val="20"/>
        </w:rPr>
      </w:pPr>
      <w:r w:rsidRPr="004C6B3D">
        <w:rPr>
          <w:rFonts w:ascii="Arial" w:hAnsi="Arial" w:cs="Arial"/>
          <w:sz w:val="20"/>
          <w:szCs w:val="20"/>
        </w:rPr>
        <w:t xml:space="preserve">Les fonctions de fondé de pouvoir et de </w:t>
      </w:r>
      <w:r w:rsidR="007800BA">
        <w:rPr>
          <w:rFonts w:ascii="Arial" w:hAnsi="Arial" w:cs="Arial"/>
          <w:sz w:val="20"/>
          <w:szCs w:val="20"/>
        </w:rPr>
        <w:t xml:space="preserve">conseiller </w:t>
      </w:r>
      <w:r w:rsidRPr="004C6B3D">
        <w:rPr>
          <w:rFonts w:ascii="Arial" w:hAnsi="Arial" w:cs="Arial"/>
          <w:sz w:val="20"/>
          <w:szCs w:val="20"/>
        </w:rPr>
        <w:t xml:space="preserve">RH de proximité ont été récemment créées pour répondre à </w:t>
      </w:r>
      <w:r w:rsidR="009D0C9B" w:rsidRPr="004C6B3D">
        <w:rPr>
          <w:rFonts w:ascii="Arial" w:hAnsi="Arial" w:cs="Arial"/>
          <w:sz w:val="20"/>
          <w:szCs w:val="20"/>
        </w:rPr>
        <w:t>des</w:t>
      </w:r>
      <w:r w:rsidRPr="004C6B3D">
        <w:rPr>
          <w:rFonts w:ascii="Arial" w:hAnsi="Arial" w:cs="Arial"/>
          <w:sz w:val="20"/>
          <w:szCs w:val="20"/>
        </w:rPr>
        <w:t xml:space="preserve"> besoin</w:t>
      </w:r>
      <w:r w:rsidR="009D0C9B" w:rsidRPr="004C6B3D">
        <w:rPr>
          <w:rFonts w:ascii="Arial" w:hAnsi="Arial" w:cs="Arial"/>
          <w:sz w:val="20"/>
          <w:szCs w:val="20"/>
        </w:rPr>
        <w:t>s exprimés</w:t>
      </w:r>
      <w:r w:rsidRPr="004C6B3D">
        <w:rPr>
          <w:rFonts w:ascii="Arial" w:hAnsi="Arial" w:cs="Arial"/>
          <w:sz w:val="20"/>
          <w:szCs w:val="20"/>
        </w:rPr>
        <w:t xml:space="preserve"> </w:t>
      </w:r>
      <w:r w:rsidR="009D0C9B" w:rsidRPr="004C6B3D">
        <w:rPr>
          <w:rFonts w:ascii="Arial" w:hAnsi="Arial" w:cs="Arial"/>
          <w:sz w:val="20"/>
          <w:szCs w:val="20"/>
        </w:rPr>
        <w:t xml:space="preserve">par </w:t>
      </w:r>
      <w:r w:rsidRPr="004C6B3D">
        <w:rPr>
          <w:rFonts w:ascii="Arial" w:hAnsi="Arial" w:cs="Arial"/>
          <w:sz w:val="20"/>
          <w:szCs w:val="20"/>
        </w:rPr>
        <w:t xml:space="preserve">différents acteurs du MENJS-MESRI. </w:t>
      </w:r>
      <w:r w:rsidR="009D0C9B" w:rsidRPr="004C6B3D">
        <w:rPr>
          <w:rFonts w:ascii="Arial" w:hAnsi="Arial" w:cs="Arial"/>
          <w:sz w:val="20"/>
          <w:szCs w:val="20"/>
        </w:rPr>
        <w:t xml:space="preserve">Les académies se sont emparées de ces nouvelles fonctions dont la mise en place </w:t>
      </w:r>
      <w:r w:rsidR="00D43F41" w:rsidRPr="004C6B3D">
        <w:rPr>
          <w:rFonts w:ascii="Arial" w:hAnsi="Arial" w:cs="Arial"/>
          <w:sz w:val="20"/>
          <w:szCs w:val="20"/>
        </w:rPr>
        <w:t>a p</w:t>
      </w:r>
      <w:r w:rsidR="00530809" w:rsidRPr="004C6B3D">
        <w:rPr>
          <w:rFonts w:ascii="Arial" w:hAnsi="Arial" w:cs="Arial"/>
          <w:sz w:val="20"/>
          <w:szCs w:val="20"/>
        </w:rPr>
        <w:t>u</w:t>
      </w:r>
      <w:r w:rsidR="00D43F41" w:rsidRPr="004C6B3D">
        <w:rPr>
          <w:rFonts w:ascii="Arial" w:hAnsi="Arial" w:cs="Arial"/>
          <w:sz w:val="20"/>
          <w:szCs w:val="20"/>
        </w:rPr>
        <w:t xml:space="preserve"> varier.</w:t>
      </w:r>
    </w:p>
    <w:p w14:paraId="5637BA51" w14:textId="77777777" w:rsidR="00530809" w:rsidRPr="004C6B3D" w:rsidRDefault="00530809" w:rsidP="009D0C9B">
      <w:pPr>
        <w:spacing w:after="0"/>
        <w:jc w:val="both"/>
        <w:rPr>
          <w:rFonts w:ascii="Arial" w:hAnsi="Arial" w:cs="Arial"/>
          <w:sz w:val="20"/>
          <w:szCs w:val="20"/>
        </w:rPr>
      </w:pPr>
    </w:p>
    <w:p w14:paraId="32F38D8B" w14:textId="77777777" w:rsidR="00530809" w:rsidRDefault="002E16C6" w:rsidP="003A78B0">
      <w:pPr>
        <w:spacing w:after="0"/>
        <w:jc w:val="both"/>
        <w:rPr>
          <w:rFonts w:ascii="Arial" w:hAnsi="Arial" w:cs="Arial"/>
          <w:sz w:val="20"/>
          <w:szCs w:val="20"/>
        </w:rPr>
      </w:pPr>
      <w:r w:rsidRPr="004C6B3D">
        <w:rPr>
          <w:rFonts w:ascii="Arial" w:hAnsi="Arial" w:cs="Arial"/>
          <w:sz w:val="20"/>
          <w:szCs w:val="20"/>
        </w:rPr>
        <w:t xml:space="preserve">Il apparaît aujourd’hui </w:t>
      </w:r>
      <w:r w:rsidR="00D43F41" w:rsidRPr="004C6B3D">
        <w:rPr>
          <w:rFonts w:ascii="Arial" w:hAnsi="Arial" w:cs="Arial"/>
          <w:sz w:val="20"/>
          <w:szCs w:val="20"/>
        </w:rPr>
        <w:t>nécessaire</w:t>
      </w:r>
      <w:r w:rsidRPr="004C6B3D">
        <w:rPr>
          <w:rFonts w:ascii="Arial" w:hAnsi="Arial" w:cs="Arial"/>
          <w:sz w:val="20"/>
          <w:szCs w:val="20"/>
        </w:rPr>
        <w:t xml:space="preserve"> de donner un cadre à ces fonctions en proposant </w:t>
      </w:r>
      <w:r w:rsidR="007F5B32">
        <w:rPr>
          <w:rFonts w:ascii="Arial" w:hAnsi="Arial" w:cs="Arial"/>
          <w:sz w:val="20"/>
          <w:szCs w:val="20"/>
        </w:rPr>
        <w:t>des</w:t>
      </w:r>
      <w:r w:rsidRPr="004C6B3D">
        <w:rPr>
          <w:rFonts w:ascii="Arial" w:hAnsi="Arial" w:cs="Arial"/>
          <w:sz w:val="20"/>
          <w:szCs w:val="20"/>
        </w:rPr>
        <w:t xml:space="preserve"> m</w:t>
      </w:r>
      <w:r w:rsidR="00D43F41" w:rsidRPr="004C6B3D">
        <w:rPr>
          <w:rFonts w:ascii="Arial" w:hAnsi="Arial" w:cs="Arial"/>
          <w:sz w:val="20"/>
          <w:szCs w:val="20"/>
        </w:rPr>
        <w:t>odèle</w:t>
      </w:r>
      <w:r w:rsidR="007F5B32">
        <w:rPr>
          <w:rFonts w:ascii="Arial" w:hAnsi="Arial" w:cs="Arial"/>
          <w:sz w:val="20"/>
          <w:szCs w:val="20"/>
        </w:rPr>
        <w:t>s</w:t>
      </w:r>
      <w:r w:rsidR="00D43F41" w:rsidRPr="004C6B3D">
        <w:rPr>
          <w:rFonts w:ascii="Arial" w:hAnsi="Arial" w:cs="Arial"/>
          <w:sz w:val="20"/>
          <w:szCs w:val="20"/>
        </w:rPr>
        <w:t xml:space="preserve"> de fiche de poste</w:t>
      </w:r>
      <w:r w:rsidR="009D0C9B" w:rsidRPr="004C6B3D">
        <w:rPr>
          <w:rFonts w:ascii="Arial" w:hAnsi="Arial" w:cs="Arial"/>
          <w:sz w:val="20"/>
          <w:szCs w:val="20"/>
        </w:rPr>
        <w:t>.</w:t>
      </w:r>
      <w:r w:rsidRPr="004C6B3D">
        <w:rPr>
          <w:rFonts w:ascii="Arial" w:hAnsi="Arial" w:cs="Arial"/>
          <w:sz w:val="20"/>
          <w:szCs w:val="20"/>
        </w:rPr>
        <w:t xml:space="preserve"> </w:t>
      </w:r>
      <w:r w:rsidR="00D43F41" w:rsidRPr="004C6B3D">
        <w:rPr>
          <w:rFonts w:ascii="Arial" w:hAnsi="Arial" w:cs="Arial"/>
          <w:sz w:val="20"/>
          <w:szCs w:val="20"/>
        </w:rPr>
        <w:t>C</w:t>
      </w:r>
      <w:r w:rsidR="009D0C9B" w:rsidRPr="004C6B3D">
        <w:rPr>
          <w:rFonts w:ascii="Arial" w:hAnsi="Arial" w:cs="Arial"/>
          <w:sz w:val="20"/>
          <w:szCs w:val="20"/>
        </w:rPr>
        <w:t>e</w:t>
      </w:r>
      <w:r w:rsidR="00D43F41" w:rsidRPr="004C6B3D">
        <w:rPr>
          <w:rFonts w:ascii="Arial" w:hAnsi="Arial" w:cs="Arial"/>
          <w:sz w:val="20"/>
          <w:szCs w:val="20"/>
        </w:rPr>
        <w:t>s</w:t>
      </w:r>
      <w:r w:rsidR="009D0C9B" w:rsidRPr="004C6B3D">
        <w:rPr>
          <w:rFonts w:ascii="Arial" w:hAnsi="Arial" w:cs="Arial"/>
          <w:sz w:val="20"/>
          <w:szCs w:val="20"/>
        </w:rPr>
        <w:t xml:space="preserve"> modèle</w:t>
      </w:r>
      <w:r w:rsidR="00D43F41" w:rsidRPr="004C6B3D">
        <w:rPr>
          <w:rFonts w:ascii="Arial" w:hAnsi="Arial" w:cs="Arial"/>
          <w:sz w:val="20"/>
          <w:szCs w:val="20"/>
        </w:rPr>
        <w:t>s</w:t>
      </w:r>
      <w:r w:rsidR="009D0C9B" w:rsidRPr="004C6B3D">
        <w:rPr>
          <w:rFonts w:ascii="Arial" w:hAnsi="Arial" w:cs="Arial"/>
          <w:sz w:val="20"/>
          <w:szCs w:val="20"/>
        </w:rPr>
        <w:t xml:space="preserve"> </w:t>
      </w:r>
      <w:r w:rsidR="007F5B32">
        <w:rPr>
          <w:rFonts w:ascii="Arial" w:hAnsi="Arial" w:cs="Arial"/>
          <w:sz w:val="20"/>
          <w:szCs w:val="20"/>
        </w:rPr>
        <w:t>pourront</w:t>
      </w:r>
      <w:r w:rsidR="00D43F41" w:rsidRPr="004C6B3D">
        <w:rPr>
          <w:rFonts w:ascii="Arial" w:hAnsi="Arial" w:cs="Arial"/>
          <w:sz w:val="20"/>
          <w:szCs w:val="20"/>
        </w:rPr>
        <w:t xml:space="preserve"> néanmoins</w:t>
      </w:r>
      <w:r w:rsidR="007F5B32">
        <w:rPr>
          <w:rFonts w:ascii="Arial" w:hAnsi="Arial" w:cs="Arial"/>
          <w:sz w:val="20"/>
          <w:szCs w:val="20"/>
        </w:rPr>
        <w:t xml:space="preserve"> être adaptés afin de</w:t>
      </w:r>
      <w:r w:rsidR="00D43F41" w:rsidRPr="004C6B3D">
        <w:rPr>
          <w:rFonts w:ascii="Arial" w:hAnsi="Arial" w:cs="Arial"/>
          <w:sz w:val="20"/>
          <w:szCs w:val="20"/>
        </w:rPr>
        <w:t xml:space="preserve"> répondre </w:t>
      </w:r>
      <w:r w:rsidR="009D0C9B" w:rsidRPr="004C6B3D">
        <w:rPr>
          <w:rFonts w:ascii="Arial" w:hAnsi="Arial" w:cs="Arial"/>
          <w:sz w:val="20"/>
          <w:szCs w:val="20"/>
        </w:rPr>
        <w:t>au</w:t>
      </w:r>
      <w:r w:rsidR="00D43F41" w:rsidRPr="004C6B3D">
        <w:rPr>
          <w:rFonts w:ascii="Arial" w:hAnsi="Arial" w:cs="Arial"/>
          <w:sz w:val="20"/>
          <w:szCs w:val="20"/>
        </w:rPr>
        <w:t xml:space="preserve">x spécificités </w:t>
      </w:r>
      <w:r w:rsidRPr="004C6B3D">
        <w:rPr>
          <w:rFonts w:ascii="Arial" w:hAnsi="Arial" w:cs="Arial"/>
          <w:sz w:val="20"/>
          <w:szCs w:val="20"/>
        </w:rPr>
        <w:t>académiques</w:t>
      </w:r>
      <w:r w:rsidR="009D0C9B" w:rsidRPr="004C6B3D">
        <w:rPr>
          <w:rFonts w:ascii="Arial" w:hAnsi="Arial" w:cs="Arial"/>
          <w:sz w:val="20"/>
          <w:szCs w:val="20"/>
        </w:rPr>
        <w:t>.</w:t>
      </w:r>
    </w:p>
    <w:p w14:paraId="4489D859" w14:textId="77777777" w:rsidR="003A78B0" w:rsidRPr="003A78B0" w:rsidRDefault="003A78B0" w:rsidP="003A78B0">
      <w:pPr>
        <w:spacing w:after="0"/>
        <w:jc w:val="both"/>
        <w:rPr>
          <w:rFonts w:ascii="Arial" w:hAnsi="Arial" w:cs="Arial"/>
          <w:sz w:val="8"/>
          <w:szCs w:val="20"/>
        </w:rPr>
      </w:pPr>
    </w:p>
    <w:p w14:paraId="773DB9C7" w14:textId="77777777" w:rsidR="003A78B0" w:rsidRDefault="00D43F41" w:rsidP="00A44901">
      <w:pPr>
        <w:pStyle w:val="Paragraphedeliste"/>
        <w:numPr>
          <w:ilvl w:val="0"/>
          <w:numId w:val="2"/>
        </w:numPr>
        <w:spacing w:after="0"/>
        <w:jc w:val="both"/>
        <w:rPr>
          <w:rFonts w:ascii="Arial" w:hAnsi="Arial" w:cs="Arial"/>
          <w:sz w:val="20"/>
          <w:szCs w:val="20"/>
        </w:rPr>
      </w:pPr>
      <w:r w:rsidRPr="003A78B0">
        <w:rPr>
          <w:rFonts w:ascii="Arial" w:hAnsi="Arial" w:cs="Arial"/>
          <w:sz w:val="20"/>
          <w:szCs w:val="20"/>
        </w:rPr>
        <w:t>Fondé de pouvoir</w:t>
      </w:r>
    </w:p>
    <w:p w14:paraId="160CF344" w14:textId="77777777" w:rsidR="003A78B0" w:rsidRPr="003A78B0" w:rsidRDefault="003A78B0" w:rsidP="003A78B0">
      <w:pPr>
        <w:spacing w:after="0"/>
        <w:ind w:left="360"/>
        <w:jc w:val="both"/>
        <w:rPr>
          <w:rFonts w:ascii="Arial" w:hAnsi="Arial" w:cs="Arial"/>
          <w:sz w:val="8"/>
          <w:szCs w:val="20"/>
        </w:rPr>
      </w:pPr>
    </w:p>
    <w:p w14:paraId="09DD47CE" w14:textId="46E03F2F" w:rsidR="007D6F42" w:rsidRPr="003A78B0" w:rsidRDefault="007D6F42" w:rsidP="003A78B0">
      <w:pPr>
        <w:spacing w:after="0"/>
        <w:ind w:left="360"/>
        <w:jc w:val="both"/>
        <w:rPr>
          <w:rFonts w:ascii="Arial" w:hAnsi="Arial" w:cs="Arial"/>
          <w:sz w:val="20"/>
          <w:szCs w:val="20"/>
        </w:rPr>
      </w:pPr>
      <w:r w:rsidRPr="003A78B0">
        <w:rPr>
          <w:rFonts w:ascii="Arial" w:hAnsi="Arial" w:cs="Arial"/>
          <w:sz w:val="20"/>
          <w:szCs w:val="20"/>
        </w:rPr>
        <w:t>Il existe d</w:t>
      </w:r>
      <w:r w:rsidR="00AD7A21" w:rsidRPr="003A78B0">
        <w:rPr>
          <w:rFonts w:ascii="Arial" w:hAnsi="Arial" w:cs="Arial"/>
          <w:sz w:val="20"/>
          <w:szCs w:val="20"/>
        </w:rPr>
        <w:t xml:space="preserve">eux </w:t>
      </w:r>
      <w:r w:rsidRPr="003A78B0">
        <w:rPr>
          <w:rFonts w:ascii="Arial" w:hAnsi="Arial" w:cs="Arial"/>
          <w:sz w:val="20"/>
          <w:szCs w:val="20"/>
        </w:rPr>
        <w:t>approches de la fonction de « fondé de pouvoir », l’agent peut être :</w:t>
      </w:r>
    </w:p>
    <w:p w14:paraId="091863FC" w14:textId="77777777" w:rsidR="00590445" w:rsidRDefault="00A44901" w:rsidP="007D6F42">
      <w:pPr>
        <w:pStyle w:val="Paragraphedeliste"/>
        <w:numPr>
          <w:ilvl w:val="0"/>
          <w:numId w:val="7"/>
        </w:numPr>
        <w:jc w:val="both"/>
        <w:rPr>
          <w:rFonts w:ascii="Arial" w:hAnsi="Arial" w:cs="Arial"/>
          <w:sz w:val="20"/>
          <w:szCs w:val="20"/>
        </w:rPr>
      </w:pPr>
      <w:r w:rsidRPr="00374589">
        <w:rPr>
          <w:rFonts w:ascii="Arial" w:hAnsi="Arial" w:cs="Arial"/>
          <w:sz w:val="20"/>
          <w:szCs w:val="20"/>
        </w:rPr>
        <w:t>l</w:t>
      </w:r>
      <w:r w:rsidR="007D6F42" w:rsidRPr="00374589">
        <w:rPr>
          <w:rFonts w:ascii="Arial" w:hAnsi="Arial" w:cs="Arial"/>
          <w:sz w:val="20"/>
          <w:szCs w:val="20"/>
        </w:rPr>
        <w:t>’adjoint de l’agent comptable sur la partie comptable</w:t>
      </w:r>
      <w:r w:rsidR="00590445">
        <w:rPr>
          <w:rFonts w:ascii="Arial" w:hAnsi="Arial" w:cs="Arial"/>
          <w:sz w:val="20"/>
          <w:szCs w:val="20"/>
        </w:rPr>
        <w:t> :</w:t>
      </w:r>
    </w:p>
    <w:p w14:paraId="07C06C3A" w14:textId="77777777" w:rsidR="00590445" w:rsidRPr="00F95E93" w:rsidRDefault="00590445" w:rsidP="00F95E93">
      <w:pPr>
        <w:pStyle w:val="Paragraphedeliste"/>
        <w:numPr>
          <w:ilvl w:val="0"/>
          <w:numId w:val="9"/>
        </w:numPr>
        <w:spacing w:after="0"/>
        <w:jc w:val="both"/>
        <w:rPr>
          <w:rFonts w:ascii="Arial" w:hAnsi="Arial" w:cs="Arial"/>
          <w:sz w:val="20"/>
          <w:szCs w:val="20"/>
        </w:rPr>
      </w:pPr>
      <w:r w:rsidRPr="00F95E93">
        <w:rPr>
          <w:rFonts w:ascii="Arial" w:hAnsi="Arial" w:cs="Arial"/>
          <w:sz w:val="20"/>
          <w:szCs w:val="20"/>
        </w:rPr>
        <w:t xml:space="preserve">soit </w:t>
      </w:r>
      <w:r w:rsidR="00A44901" w:rsidRPr="00F95E93">
        <w:rPr>
          <w:rFonts w:ascii="Arial" w:hAnsi="Arial" w:cs="Arial"/>
          <w:sz w:val="20"/>
          <w:szCs w:val="20"/>
        </w:rPr>
        <w:t xml:space="preserve">en charge du </w:t>
      </w:r>
      <w:r w:rsidR="007D6F42" w:rsidRPr="00F95E93">
        <w:rPr>
          <w:rFonts w:ascii="Arial" w:hAnsi="Arial" w:cs="Arial"/>
          <w:sz w:val="20"/>
          <w:szCs w:val="20"/>
        </w:rPr>
        <w:t>contrôle d’un ou plusieurs établissements rattachés à l’agence comptable</w:t>
      </w:r>
      <w:r w:rsidRPr="00F95E93">
        <w:rPr>
          <w:rFonts w:ascii="Arial" w:hAnsi="Arial" w:cs="Arial"/>
          <w:sz w:val="20"/>
          <w:szCs w:val="20"/>
        </w:rPr>
        <w:t xml:space="preserve"> au regard des dispositions de l’article 16 du décret n°2012-1246 du 7 novembre 2012 relatif à la gestion budgétaire et comptable publique ; </w:t>
      </w:r>
    </w:p>
    <w:p w14:paraId="7C04B0F4" w14:textId="77777777" w:rsidR="00590445" w:rsidRPr="00F95E93" w:rsidRDefault="00590445" w:rsidP="00F95E93">
      <w:pPr>
        <w:pStyle w:val="Paragraphedeliste"/>
        <w:numPr>
          <w:ilvl w:val="0"/>
          <w:numId w:val="9"/>
        </w:numPr>
        <w:spacing w:after="0"/>
        <w:jc w:val="both"/>
        <w:rPr>
          <w:rFonts w:ascii="Arial" w:hAnsi="Arial" w:cs="Arial"/>
          <w:sz w:val="20"/>
          <w:szCs w:val="20"/>
        </w:rPr>
      </w:pPr>
      <w:r w:rsidRPr="00F95E93">
        <w:rPr>
          <w:rFonts w:ascii="Arial" w:hAnsi="Arial" w:cs="Arial"/>
          <w:sz w:val="20"/>
          <w:szCs w:val="20"/>
        </w:rPr>
        <w:t>soit en charge d’écritures et de vérifications comptables ;</w:t>
      </w:r>
    </w:p>
    <w:p w14:paraId="5B057035" w14:textId="77777777" w:rsidR="00590445" w:rsidRPr="00590445" w:rsidRDefault="00590445" w:rsidP="00590445">
      <w:pPr>
        <w:spacing w:after="0"/>
        <w:ind w:left="1416"/>
        <w:jc w:val="both"/>
        <w:rPr>
          <w:rFonts w:ascii="Arial" w:hAnsi="Arial" w:cs="Arial"/>
          <w:sz w:val="20"/>
          <w:szCs w:val="20"/>
        </w:rPr>
      </w:pPr>
    </w:p>
    <w:p w14:paraId="7AAE8CEC" w14:textId="77777777" w:rsidR="00590445" w:rsidRDefault="00A44901" w:rsidP="007D6F42">
      <w:pPr>
        <w:pStyle w:val="Paragraphedeliste"/>
        <w:numPr>
          <w:ilvl w:val="0"/>
          <w:numId w:val="7"/>
        </w:numPr>
        <w:jc w:val="both"/>
        <w:rPr>
          <w:rFonts w:ascii="Arial" w:hAnsi="Arial" w:cs="Arial"/>
          <w:sz w:val="20"/>
          <w:szCs w:val="20"/>
        </w:rPr>
      </w:pPr>
      <w:r w:rsidRPr="00374589">
        <w:rPr>
          <w:rFonts w:ascii="Arial" w:hAnsi="Arial" w:cs="Arial"/>
          <w:sz w:val="20"/>
          <w:szCs w:val="20"/>
        </w:rPr>
        <w:t>l</w:t>
      </w:r>
      <w:r w:rsidR="007D6F42" w:rsidRPr="00374589">
        <w:rPr>
          <w:rFonts w:ascii="Arial" w:hAnsi="Arial" w:cs="Arial"/>
          <w:sz w:val="20"/>
          <w:szCs w:val="20"/>
        </w:rPr>
        <w:t>’adjoint de l’agent comptable en charge de la gestion matérielle de l’établissement siège de l’agence comptable</w:t>
      </w:r>
      <w:r w:rsidR="00590445">
        <w:rPr>
          <w:rFonts w:ascii="Arial" w:hAnsi="Arial" w:cs="Arial"/>
          <w:sz w:val="20"/>
          <w:szCs w:val="20"/>
        </w:rPr>
        <w:t>. L</w:t>
      </w:r>
      <w:r w:rsidRPr="00374589">
        <w:rPr>
          <w:rFonts w:ascii="Arial" w:hAnsi="Arial" w:cs="Arial"/>
          <w:sz w:val="20"/>
          <w:szCs w:val="20"/>
        </w:rPr>
        <w:t>’agent comptable conserve</w:t>
      </w:r>
      <w:r w:rsidR="00590445">
        <w:rPr>
          <w:rFonts w:ascii="Arial" w:hAnsi="Arial" w:cs="Arial"/>
          <w:sz w:val="20"/>
          <w:szCs w:val="20"/>
        </w:rPr>
        <w:t>, néanmoins,</w:t>
      </w:r>
      <w:r w:rsidRPr="00374589">
        <w:rPr>
          <w:rFonts w:ascii="Arial" w:hAnsi="Arial" w:cs="Arial"/>
          <w:sz w:val="20"/>
          <w:szCs w:val="20"/>
        </w:rPr>
        <w:t xml:space="preserve"> la responsabilité </w:t>
      </w:r>
      <w:r w:rsidR="00374589" w:rsidRPr="00374589">
        <w:rPr>
          <w:rFonts w:ascii="Arial" w:hAnsi="Arial" w:cs="Arial"/>
          <w:sz w:val="20"/>
          <w:szCs w:val="20"/>
        </w:rPr>
        <w:t xml:space="preserve">des missions </w:t>
      </w:r>
      <w:r w:rsidRPr="00374589">
        <w:rPr>
          <w:rFonts w:ascii="Arial" w:hAnsi="Arial" w:cs="Arial"/>
          <w:sz w:val="20"/>
          <w:szCs w:val="20"/>
        </w:rPr>
        <w:t>puisqu’il ne s’agit pas d’une délégation de compétence</w:t>
      </w:r>
      <w:r w:rsidR="00590445">
        <w:rPr>
          <w:rFonts w:ascii="Arial" w:hAnsi="Arial" w:cs="Arial"/>
          <w:sz w:val="20"/>
          <w:szCs w:val="20"/>
        </w:rPr>
        <w:t>s</w:t>
      </w:r>
      <w:r w:rsidRPr="00374589">
        <w:rPr>
          <w:rFonts w:ascii="Arial" w:hAnsi="Arial" w:cs="Arial"/>
          <w:sz w:val="20"/>
          <w:szCs w:val="20"/>
        </w:rPr>
        <w:t xml:space="preserve">. </w:t>
      </w:r>
    </w:p>
    <w:p w14:paraId="15613A9D" w14:textId="77777777" w:rsidR="00590445" w:rsidRPr="00590445" w:rsidRDefault="00590445" w:rsidP="00590445">
      <w:pPr>
        <w:ind w:left="360"/>
        <w:jc w:val="both"/>
        <w:rPr>
          <w:rFonts w:ascii="Arial" w:hAnsi="Arial" w:cs="Arial"/>
          <w:sz w:val="20"/>
          <w:szCs w:val="20"/>
        </w:rPr>
      </w:pPr>
      <w:r>
        <w:rPr>
          <w:rFonts w:ascii="Arial" w:hAnsi="Arial" w:cs="Arial"/>
          <w:sz w:val="20"/>
          <w:szCs w:val="20"/>
        </w:rPr>
        <w:t>Au regard de ces deux approches, il apparaît nécessaire de s’interroger sur le profil des agents susceptibles d’assurer ces missions.</w:t>
      </w:r>
    </w:p>
    <w:p w14:paraId="4E125CB2" w14:textId="77777777" w:rsidR="00D43F41" w:rsidRDefault="00D43F41" w:rsidP="00D43F41">
      <w:pPr>
        <w:pStyle w:val="Paragraphedeliste"/>
        <w:numPr>
          <w:ilvl w:val="0"/>
          <w:numId w:val="2"/>
        </w:numPr>
        <w:spacing w:after="0"/>
        <w:jc w:val="both"/>
        <w:rPr>
          <w:rFonts w:ascii="Arial" w:hAnsi="Arial" w:cs="Arial"/>
          <w:sz w:val="20"/>
          <w:szCs w:val="20"/>
        </w:rPr>
      </w:pPr>
      <w:r w:rsidRPr="004C6B3D">
        <w:rPr>
          <w:rFonts w:ascii="Arial" w:hAnsi="Arial" w:cs="Arial"/>
          <w:sz w:val="20"/>
          <w:szCs w:val="20"/>
        </w:rPr>
        <w:t>RH de proximité</w:t>
      </w:r>
    </w:p>
    <w:p w14:paraId="317AF354" w14:textId="77777777" w:rsidR="00374589" w:rsidRPr="0052577A" w:rsidRDefault="00374589" w:rsidP="00374589">
      <w:pPr>
        <w:spacing w:after="0"/>
        <w:jc w:val="both"/>
        <w:rPr>
          <w:rFonts w:ascii="Arial" w:hAnsi="Arial" w:cs="Arial"/>
          <w:sz w:val="12"/>
          <w:szCs w:val="20"/>
        </w:rPr>
      </w:pPr>
    </w:p>
    <w:p w14:paraId="1D97110A" w14:textId="77777777" w:rsidR="000C0369" w:rsidRDefault="00374589" w:rsidP="007A55E4">
      <w:pPr>
        <w:pStyle w:val="Titre2"/>
        <w:jc w:val="both"/>
        <w:rPr>
          <w:rFonts w:ascii="Arial" w:hAnsi="Arial" w:cs="Arial"/>
          <w:b w:val="0"/>
          <w:sz w:val="20"/>
          <w:szCs w:val="20"/>
        </w:rPr>
      </w:pPr>
      <w:r w:rsidRPr="00374589">
        <w:rPr>
          <w:rFonts w:ascii="Arial" w:hAnsi="Arial" w:cs="Arial"/>
          <w:b w:val="0"/>
          <w:sz w:val="20"/>
          <w:szCs w:val="20"/>
        </w:rPr>
        <w:t>La circulaire n°2019-105 du 17-</w:t>
      </w:r>
      <w:r w:rsidR="0052577A">
        <w:rPr>
          <w:rFonts w:ascii="Arial" w:hAnsi="Arial" w:cs="Arial"/>
          <w:b w:val="0"/>
          <w:sz w:val="20"/>
          <w:szCs w:val="20"/>
        </w:rPr>
        <w:t>0</w:t>
      </w:r>
      <w:r w:rsidRPr="00374589">
        <w:rPr>
          <w:rFonts w:ascii="Arial" w:hAnsi="Arial" w:cs="Arial"/>
          <w:b w:val="0"/>
          <w:sz w:val="20"/>
          <w:szCs w:val="20"/>
        </w:rPr>
        <w:t xml:space="preserve">7-2019 </w:t>
      </w:r>
      <w:r>
        <w:rPr>
          <w:rFonts w:ascii="Arial" w:hAnsi="Arial" w:cs="Arial"/>
          <w:b w:val="0"/>
          <w:sz w:val="20"/>
          <w:szCs w:val="20"/>
        </w:rPr>
        <w:t>relative à la mise en place de la g</w:t>
      </w:r>
      <w:r w:rsidRPr="00374589">
        <w:rPr>
          <w:rFonts w:ascii="Arial" w:hAnsi="Arial" w:cs="Arial"/>
          <w:b w:val="0"/>
          <w:sz w:val="20"/>
          <w:szCs w:val="20"/>
        </w:rPr>
        <w:t>estion des ressources humaines de proximité</w:t>
      </w:r>
      <w:r>
        <w:rPr>
          <w:rFonts w:ascii="Arial" w:hAnsi="Arial" w:cs="Arial"/>
          <w:b w:val="0"/>
          <w:sz w:val="20"/>
          <w:szCs w:val="20"/>
        </w:rPr>
        <w:t xml:space="preserve"> </w:t>
      </w:r>
      <w:r w:rsidRPr="00374589">
        <w:rPr>
          <w:rFonts w:ascii="Arial" w:hAnsi="Arial" w:cs="Arial"/>
          <w:b w:val="0"/>
          <w:sz w:val="20"/>
          <w:szCs w:val="20"/>
        </w:rPr>
        <w:t>dans les académies</w:t>
      </w:r>
      <w:r w:rsidR="006C5615">
        <w:rPr>
          <w:rFonts w:ascii="Arial" w:hAnsi="Arial" w:cs="Arial"/>
          <w:b w:val="0"/>
          <w:sz w:val="20"/>
          <w:szCs w:val="20"/>
        </w:rPr>
        <w:t>,</w:t>
      </w:r>
      <w:r>
        <w:rPr>
          <w:rFonts w:ascii="Arial" w:hAnsi="Arial" w:cs="Arial"/>
          <w:b w:val="0"/>
          <w:sz w:val="20"/>
          <w:szCs w:val="20"/>
        </w:rPr>
        <w:t xml:space="preserve"> a impulsé</w:t>
      </w:r>
      <w:r w:rsidR="00DC66EA">
        <w:rPr>
          <w:rFonts w:ascii="Arial" w:hAnsi="Arial" w:cs="Arial"/>
          <w:b w:val="0"/>
          <w:sz w:val="20"/>
          <w:szCs w:val="20"/>
        </w:rPr>
        <w:t xml:space="preserve"> le développement de </w:t>
      </w:r>
      <w:r w:rsidR="00DC66EA">
        <w:rPr>
          <w:rStyle w:val="hgkelc"/>
          <w:rFonts w:ascii="Arial" w:hAnsi="Arial" w:cs="Arial"/>
          <w:b w:val="0"/>
          <w:sz w:val="20"/>
          <w:szCs w:val="20"/>
        </w:rPr>
        <w:t>ce</w:t>
      </w:r>
      <w:r w:rsidR="00DC66EA" w:rsidRPr="00615AC0">
        <w:rPr>
          <w:rStyle w:val="hgkelc"/>
          <w:rFonts w:ascii="Arial" w:hAnsi="Arial" w:cs="Arial"/>
          <w:b w:val="0"/>
          <w:sz w:val="20"/>
          <w:szCs w:val="20"/>
        </w:rPr>
        <w:t xml:space="preserve"> service personnalisé d'accompagnement, de conseil et d'information à destination de tous les personnels</w:t>
      </w:r>
      <w:r w:rsidR="00DC66EA">
        <w:rPr>
          <w:rFonts w:ascii="Arial" w:hAnsi="Arial" w:cs="Arial"/>
          <w:b w:val="0"/>
          <w:sz w:val="20"/>
          <w:szCs w:val="20"/>
        </w:rPr>
        <w:t xml:space="preserve"> </w:t>
      </w:r>
      <w:r w:rsidR="006C5615">
        <w:rPr>
          <w:rFonts w:ascii="Arial" w:hAnsi="Arial" w:cs="Arial"/>
          <w:b w:val="0"/>
          <w:sz w:val="20"/>
          <w:szCs w:val="20"/>
        </w:rPr>
        <w:t>du MENJS-MESRI</w:t>
      </w:r>
      <w:r w:rsidR="00615AC0">
        <w:rPr>
          <w:rFonts w:ascii="Arial" w:hAnsi="Arial" w:cs="Arial"/>
          <w:b w:val="0"/>
          <w:sz w:val="20"/>
          <w:szCs w:val="20"/>
        </w:rPr>
        <w:t xml:space="preserve">. </w:t>
      </w:r>
    </w:p>
    <w:p w14:paraId="26AFB542" w14:textId="35A9E6AA" w:rsidR="007800BA" w:rsidRPr="007A55E4" w:rsidRDefault="000C0369" w:rsidP="007A55E4">
      <w:pPr>
        <w:pStyle w:val="Titre2"/>
        <w:jc w:val="both"/>
        <w:rPr>
          <w:rFonts w:ascii="Arial" w:hAnsi="Arial" w:cs="Arial"/>
          <w:b w:val="0"/>
          <w:sz w:val="20"/>
          <w:szCs w:val="20"/>
        </w:rPr>
      </w:pPr>
      <w:r w:rsidRPr="000C0369">
        <w:rPr>
          <w:rFonts w:ascii="Arial" w:hAnsi="Arial" w:cs="Arial"/>
          <w:b w:val="0"/>
          <w:sz w:val="20"/>
          <w:szCs w:val="20"/>
        </w:rPr>
        <w:t xml:space="preserve">Cet </w:t>
      </w:r>
      <w:r w:rsidR="007800BA" w:rsidRPr="007A55E4">
        <w:rPr>
          <w:rFonts w:ascii="Arial" w:hAnsi="Arial" w:cs="Arial"/>
          <w:b w:val="0"/>
          <w:sz w:val="20"/>
          <w:szCs w:val="20"/>
        </w:rPr>
        <w:t>objectif</w:t>
      </w:r>
      <w:r w:rsidRPr="007A55E4">
        <w:rPr>
          <w:rFonts w:ascii="Arial" w:hAnsi="Arial" w:cs="Arial"/>
          <w:b w:val="0"/>
          <w:sz w:val="20"/>
          <w:szCs w:val="20"/>
        </w:rPr>
        <w:t xml:space="preserve"> est mis en exergue dans le cadre</w:t>
      </w:r>
      <w:r w:rsidR="007800BA" w:rsidRPr="007A55E4">
        <w:rPr>
          <w:rFonts w:ascii="Arial" w:hAnsi="Arial" w:cs="Arial"/>
          <w:b w:val="0"/>
          <w:sz w:val="20"/>
          <w:szCs w:val="20"/>
        </w:rPr>
        <w:t xml:space="preserve"> du Grenelle de l’éducation</w:t>
      </w:r>
      <w:r w:rsidRPr="007A55E4">
        <w:rPr>
          <w:rFonts w:ascii="Arial" w:hAnsi="Arial" w:cs="Arial"/>
          <w:b w:val="0"/>
          <w:sz w:val="20"/>
          <w:szCs w:val="20"/>
        </w:rPr>
        <w:t>, qui vise notamment à poursuivre la transformation en</w:t>
      </w:r>
      <w:r w:rsidR="007800BA" w:rsidRPr="007A55E4">
        <w:rPr>
          <w:rFonts w:ascii="Arial" w:hAnsi="Arial" w:cs="Arial"/>
          <w:b w:val="0"/>
          <w:sz w:val="20"/>
          <w:szCs w:val="20"/>
        </w:rPr>
        <w:t xml:space="preserve"> profondeur </w:t>
      </w:r>
      <w:r w:rsidRPr="007A55E4">
        <w:rPr>
          <w:rFonts w:ascii="Arial" w:hAnsi="Arial" w:cs="Arial"/>
          <w:b w:val="0"/>
          <w:sz w:val="20"/>
          <w:szCs w:val="20"/>
        </w:rPr>
        <w:t xml:space="preserve">de </w:t>
      </w:r>
      <w:r w:rsidR="007800BA" w:rsidRPr="007A55E4">
        <w:rPr>
          <w:rFonts w:ascii="Arial" w:hAnsi="Arial" w:cs="Arial"/>
          <w:b w:val="0"/>
          <w:sz w:val="20"/>
          <w:szCs w:val="20"/>
        </w:rPr>
        <w:t xml:space="preserve">la GRH du MENJS pour développer </w:t>
      </w:r>
      <w:r w:rsidRPr="007A55E4">
        <w:rPr>
          <w:rFonts w:ascii="Arial" w:hAnsi="Arial" w:cs="Arial"/>
          <w:b w:val="0"/>
          <w:sz w:val="20"/>
          <w:szCs w:val="20"/>
        </w:rPr>
        <w:t>une</w:t>
      </w:r>
      <w:r w:rsidR="007800BA" w:rsidRPr="007A55E4">
        <w:rPr>
          <w:rFonts w:ascii="Arial" w:hAnsi="Arial" w:cs="Arial"/>
          <w:b w:val="0"/>
          <w:sz w:val="20"/>
          <w:szCs w:val="20"/>
        </w:rPr>
        <w:t xml:space="preserve"> gestion de proximité</w:t>
      </w:r>
      <w:r w:rsidRPr="007A55E4">
        <w:rPr>
          <w:rFonts w:ascii="Arial" w:hAnsi="Arial" w:cs="Arial"/>
          <w:b w:val="0"/>
          <w:sz w:val="20"/>
          <w:szCs w:val="20"/>
        </w:rPr>
        <w:t xml:space="preserve"> à tous les niveaux</w:t>
      </w:r>
      <w:r w:rsidR="007800BA" w:rsidRPr="007A55E4">
        <w:rPr>
          <w:rFonts w:ascii="Arial" w:hAnsi="Arial" w:cs="Arial"/>
          <w:b w:val="0"/>
          <w:sz w:val="20"/>
          <w:szCs w:val="20"/>
        </w:rPr>
        <w:t>. La GRH doit</w:t>
      </w:r>
      <w:r w:rsidRPr="007A55E4">
        <w:rPr>
          <w:rFonts w:ascii="Arial" w:hAnsi="Arial" w:cs="Arial"/>
          <w:b w:val="0"/>
          <w:sz w:val="20"/>
          <w:szCs w:val="20"/>
        </w:rPr>
        <w:t xml:space="preserve"> en effet </w:t>
      </w:r>
      <w:r w:rsidR="007800BA" w:rsidRPr="007A55E4">
        <w:rPr>
          <w:rFonts w:ascii="Arial" w:hAnsi="Arial" w:cs="Arial"/>
          <w:b w:val="0"/>
          <w:sz w:val="20"/>
          <w:szCs w:val="20"/>
        </w:rPr>
        <w:t xml:space="preserve">devenir un objet partagé et l’affaire de tous les acteurs RH au sein de l’institution. L’ambition est de créer un écosystème de l’accompagnement personnalisé de l’ensemble des personnels du ministère dont les conseillers RH de proximité constituent un des maillons.  </w:t>
      </w:r>
    </w:p>
    <w:p w14:paraId="56A87DCD" w14:textId="34DA36FF" w:rsidR="007800BA" w:rsidRDefault="00475772" w:rsidP="0052577A">
      <w:pPr>
        <w:pStyle w:val="Titre3"/>
        <w:spacing w:before="0" w:beforeAutospacing="0" w:after="0" w:afterAutospacing="0" w:line="276" w:lineRule="auto"/>
        <w:jc w:val="both"/>
        <w:rPr>
          <w:rFonts w:ascii="Arial" w:hAnsi="Arial" w:cs="Arial"/>
          <w:b w:val="0"/>
          <w:sz w:val="20"/>
          <w:szCs w:val="20"/>
        </w:rPr>
      </w:pPr>
      <w:r>
        <w:rPr>
          <w:rFonts w:ascii="Arial" w:hAnsi="Arial" w:cs="Arial"/>
          <w:b w:val="0"/>
          <w:sz w:val="20"/>
          <w:szCs w:val="20"/>
        </w:rPr>
        <w:lastRenderedPageBreak/>
        <w:t xml:space="preserve">La </w:t>
      </w:r>
      <w:r w:rsidR="000C0369">
        <w:rPr>
          <w:rFonts w:ascii="Arial" w:hAnsi="Arial" w:cs="Arial"/>
          <w:b w:val="0"/>
          <w:sz w:val="20"/>
          <w:szCs w:val="20"/>
        </w:rPr>
        <w:t xml:space="preserve">formation, enjeu majeur de la légitimation de ce nouveau métier et permettant de répondre à la diversité des profils des personnels entrant dans la fonction, </w:t>
      </w:r>
      <w:r>
        <w:rPr>
          <w:rFonts w:ascii="Arial" w:hAnsi="Arial" w:cs="Arial"/>
          <w:b w:val="0"/>
          <w:sz w:val="20"/>
          <w:szCs w:val="20"/>
        </w:rPr>
        <w:t xml:space="preserve">est définie par la DGRH et mise en œuvre par l’IH2EF, </w:t>
      </w:r>
    </w:p>
    <w:p w14:paraId="327CB1A0" w14:textId="77777777" w:rsidR="000C0369" w:rsidRDefault="000C0369" w:rsidP="0052577A">
      <w:pPr>
        <w:pStyle w:val="Titre3"/>
        <w:spacing w:before="0" w:beforeAutospacing="0" w:after="0" w:afterAutospacing="0" w:line="276" w:lineRule="auto"/>
        <w:jc w:val="both"/>
        <w:rPr>
          <w:rFonts w:ascii="Arial" w:hAnsi="Arial" w:cs="Arial"/>
          <w:b w:val="0"/>
          <w:sz w:val="20"/>
          <w:szCs w:val="20"/>
        </w:rPr>
      </w:pPr>
    </w:p>
    <w:p w14:paraId="54D5AF1D" w14:textId="70D9E4BF" w:rsidR="00374589" w:rsidRDefault="000C0369" w:rsidP="0052577A">
      <w:pPr>
        <w:pStyle w:val="Titre3"/>
        <w:spacing w:before="0" w:beforeAutospacing="0" w:after="0" w:afterAutospacing="0" w:line="276" w:lineRule="auto"/>
        <w:jc w:val="both"/>
        <w:rPr>
          <w:rFonts w:ascii="Arial" w:hAnsi="Arial" w:cs="Arial"/>
          <w:b w:val="0"/>
          <w:sz w:val="20"/>
          <w:szCs w:val="20"/>
        </w:rPr>
      </w:pPr>
      <w:r>
        <w:rPr>
          <w:rFonts w:ascii="Arial" w:hAnsi="Arial" w:cs="Arial"/>
          <w:b w:val="0"/>
          <w:sz w:val="20"/>
          <w:szCs w:val="20"/>
        </w:rPr>
        <w:t xml:space="preserve">La </w:t>
      </w:r>
      <w:r w:rsidR="00615AC0">
        <w:rPr>
          <w:rFonts w:ascii="Arial" w:hAnsi="Arial" w:cs="Arial"/>
          <w:b w:val="0"/>
          <w:sz w:val="20"/>
          <w:szCs w:val="20"/>
        </w:rPr>
        <w:t>circulaire</w:t>
      </w:r>
      <w:r w:rsidR="006C5615">
        <w:rPr>
          <w:rFonts w:ascii="Arial" w:hAnsi="Arial" w:cs="Arial"/>
          <w:b w:val="0"/>
          <w:sz w:val="20"/>
          <w:szCs w:val="20"/>
        </w:rPr>
        <w:t xml:space="preserve"> </w:t>
      </w:r>
      <w:r>
        <w:rPr>
          <w:rFonts w:ascii="Arial" w:hAnsi="Arial" w:cs="Arial"/>
          <w:b w:val="0"/>
          <w:sz w:val="20"/>
          <w:szCs w:val="20"/>
        </w:rPr>
        <w:t xml:space="preserve">précitée </w:t>
      </w:r>
      <w:r w:rsidR="00615AC0">
        <w:rPr>
          <w:rFonts w:ascii="Arial" w:hAnsi="Arial" w:cs="Arial"/>
          <w:b w:val="0"/>
          <w:sz w:val="20"/>
          <w:szCs w:val="20"/>
        </w:rPr>
        <w:t>laiss</w:t>
      </w:r>
      <w:r w:rsidR="0052577A">
        <w:rPr>
          <w:rFonts w:ascii="Arial" w:hAnsi="Arial" w:cs="Arial"/>
          <w:b w:val="0"/>
          <w:sz w:val="20"/>
          <w:szCs w:val="20"/>
        </w:rPr>
        <w:t>e</w:t>
      </w:r>
      <w:r w:rsidR="00374589">
        <w:rPr>
          <w:rFonts w:ascii="Arial" w:hAnsi="Arial" w:cs="Arial"/>
          <w:b w:val="0"/>
          <w:sz w:val="20"/>
          <w:szCs w:val="20"/>
        </w:rPr>
        <w:t xml:space="preserve"> à chaque recteur le soin </w:t>
      </w:r>
      <w:r w:rsidR="00615AC0">
        <w:rPr>
          <w:rFonts w:ascii="Arial" w:hAnsi="Arial" w:cs="Arial"/>
          <w:b w:val="0"/>
          <w:sz w:val="20"/>
          <w:szCs w:val="20"/>
        </w:rPr>
        <w:t>de choisir les modalités de mise en œuvre de</w:t>
      </w:r>
      <w:r w:rsidR="00DC66EA" w:rsidRPr="00DC66EA">
        <w:rPr>
          <w:rFonts w:ascii="Arial" w:hAnsi="Arial" w:cs="Arial"/>
          <w:b w:val="0"/>
          <w:sz w:val="20"/>
          <w:szCs w:val="20"/>
        </w:rPr>
        <w:t xml:space="preserve"> </w:t>
      </w:r>
      <w:r w:rsidR="00DC66EA">
        <w:rPr>
          <w:rFonts w:ascii="Arial" w:hAnsi="Arial" w:cs="Arial"/>
          <w:b w:val="0"/>
          <w:sz w:val="20"/>
          <w:szCs w:val="20"/>
        </w:rPr>
        <w:t>ce service de proximité</w:t>
      </w:r>
      <w:r w:rsidR="00DC66EA">
        <w:rPr>
          <w:rStyle w:val="hgkelc"/>
          <w:rFonts w:ascii="Arial" w:hAnsi="Arial" w:cs="Arial"/>
          <w:b w:val="0"/>
          <w:sz w:val="20"/>
          <w:szCs w:val="20"/>
        </w:rPr>
        <w:t>,</w:t>
      </w:r>
      <w:r w:rsidR="00615AC0" w:rsidRPr="00615AC0">
        <w:rPr>
          <w:rStyle w:val="hgkelc"/>
          <w:rFonts w:ascii="Arial" w:hAnsi="Arial" w:cs="Arial"/>
          <w:b w:val="0"/>
          <w:sz w:val="20"/>
          <w:szCs w:val="20"/>
        </w:rPr>
        <w:t xml:space="preserve"> </w:t>
      </w:r>
      <w:r w:rsidR="00374589">
        <w:rPr>
          <w:rFonts w:ascii="Arial" w:hAnsi="Arial" w:cs="Arial"/>
          <w:b w:val="0"/>
          <w:sz w:val="20"/>
          <w:szCs w:val="20"/>
        </w:rPr>
        <w:t xml:space="preserve">en fonction des </w:t>
      </w:r>
      <w:r w:rsidR="00D11F33">
        <w:rPr>
          <w:rFonts w:ascii="Arial" w:hAnsi="Arial" w:cs="Arial"/>
          <w:b w:val="0"/>
          <w:sz w:val="20"/>
          <w:szCs w:val="20"/>
        </w:rPr>
        <w:t>besoins, des ressources et des spécificités</w:t>
      </w:r>
      <w:r w:rsidR="00374589">
        <w:rPr>
          <w:rFonts w:ascii="Arial" w:hAnsi="Arial" w:cs="Arial"/>
          <w:b w:val="0"/>
          <w:sz w:val="20"/>
          <w:szCs w:val="20"/>
        </w:rPr>
        <w:t xml:space="preserve"> académiques.</w:t>
      </w:r>
      <w:r w:rsidR="00475772">
        <w:rPr>
          <w:rFonts w:ascii="Arial" w:hAnsi="Arial" w:cs="Arial"/>
          <w:b w:val="0"/>
          <w:sz w:val="20"/>
          <w:szCs w:val="20"/>
        </w:rPr>
        <w:t xml:space="preserve"> </w:t>
      </w:r>
    </w:p>
    <w:p w14:paraId="24ABBDF5" w14:textId="77777777" w:rsidR="00374589" w:rsidRDefault="00374589" w:rsidP="00374589">
      <w:pPr>
        <w:pStyle w:val="Titre3"/>
        <w:spacing w:before="0" w:beforeAutospacing="0" w:after="0" w:afterAutospacing="0"/>
        <w:rPr>
          <w:rFonts w:ascii="Arial" w:hAnsi="Arial" w:cs="Arial"/>
          <w:b w:val="0"/>
          <w:sz w:val="20"/>
          <w:szCs w:val="20"/>
        </w:rPr>
      </w:pPr>
    </w:p>
    <w:p w14:paraId="6BA33259" w14:textId="23E4B662" w:rsidR="006C5615" w:rsidRPr="00374589" w:rsidRDefault="001B3B9A" w:rsidP="00374589">
      <w:pPr>
        <w:pStyle w:val="Titre3"/>
        <w:spacing w:before="0" w:beforeAutospacing="0" w:after="0" w:afterAutospacing="0"/>
        <w:rPr>
          <w:rFonts w:ascii="Arial" w:hAnsi="Arial" w:cs="Arial"/>
          <w:b w:val="0"/>
          <w:sz w:val="20"/>
          <w:szCs w:val="20"/>
        </w:rPr>
      </w:pPr>
      <w:r>
        <w:rPr>
          <w:rFonts w:ascii="Arial" w:hAnsi="Arial" w:cs="Arial"/>
          <w:b w:val="0"/>
          <w:sz w:val="20"/>
          <w:szCs w:val="20"/>
        </w:rPr>
        <w:t>A titre d’</w:t>
      </w:r>
      <w:r w:rsidR="006C5615">
        <w:rPr>
          <w:rFonts w:ascii="Arial" w:hAnsi="Arial" w:cs="Arial"/>
          <w:b w:val="0"/>
          <w:sz w:val="20"/>
          <w:szCs w:val="20"/>
        </w:rPr>
        <w:t>exemples :</w:t>
      </w:r>
    </w:p>
    <w:p w14:paraId="6ECF7212" w14:textId="4EDC9C36" w:rsidR="00374589" w:rsidRPr="00DC66EA" w:rsidRDefault="003428AD" w:rsidP="00615AC0">
      <w:pPr>
        <w:pStyle w:val="Paragraphedeliste"/>
        <w:numPr>
          <w:ilvl w:val="0"/>
          <w:numId w:val="7"/>
        </w:numPr>
        <w:spacing w:after="0"/>
        <w:jc w:val="both"/>
        <w:rPr>
          <w:rFonts w:ascii="Arial" w:hAnsi="Arial" w:cs="Arial"/>
          <w:sz w:val="20"/>
          <w:szCs w:val="20"/>
        </w:rPr>
      </w:pPr>
      <w:r>
        <w:rPr>
          <w:rFonts w:ascii="Arial" w:hAnsi="Arial" w:cs="Arial"/>
          <w:sz w:val="20"/>
          <w:szCs w:val="20"/>
        </w:rPr>
        <w:t>a</w:t>
      </w:r>
      <w:r w:rsidR="00797BC7">
        <w:rPr>
          <w:rFonts w:ascii="Arial" w:hAnsi="Arial" w:cs="Arial"/>
          <w:sz w:val="20"/>
          <w:szCs w:val="20"/>
        </w:rPr>
        <w:t>u sein de</w:t>
      </w:r>
      <w:r w:rsidR="00374589" w:rsidRPr="00615AC0">
        <w:rPr>
          <w:rFonts w:ascii="Arial" w:hAnsi="Arial" w:cs="Arial"/>
          <w:sz w:val="20"/>
          <w:szCs w:val="20"/>
        </w:rPr>
        <w:t xml:space="preserve"> l</w:t>
      </w:r>
      <w:r w:rsidR="00615AC0">
        <w:rPr>
          <w:rFonts w:ascii="Arial" w:hAnsi="Arial" w:cs="Arial"/>
          <w:sz w:val="20"/>
          <w:szCs w:val="20"/>
        </w:rPr>
        <w:t xml:space="preserve">’académie de Rennes, </w:t>
      </w:r>
      <w:r w:rsidR="00DC66EA">
        <w:rPr>
          <w:rFonts w:ascii="Arial" w:hAnsi="Arial" w:cs="Arial"/>
          <w:sz w:val="20"/>
          <w:szCs w:val="20"/>
        </w:rPr>
        <w:t xml:space="preserve">le service de GRH de proximité </w:t>
      </w:r>
      <w:r w:rsidR="0052577A">
        <w:rPr>
          <w:rFonts w:ascii="Arial" w:hAnsi="Arial" w:cs="Arial"/>
          <w:sz w:val="20"/>
          <w:szCs w:val="20"/>
        </w:rPr>
        <w:t>compte</w:t>
      </w:r>
      <w:r w:rsidR="00DC66EA">
        <w:rPr>
          <w:rFonts w:ascii="Arial" w:hAnsi="Arial" w:cs="Arial"/>
          <w:sz w:val="20"/>
          <w:szCs w:val="20"/>
        </w:rPr>
        <w:t xml:space="preserve"> </w:t>
      </w:r>
      <w:r w:rsidR="00DC66EA" w:rsidRPr="00DC66EA">
        <w:rPr>
          <w:rFonts w:ascii="Arial" w:hAnsi="Arial" w:cs="Arial"/>
          <w:sz w:val="20"/>
        </w:rPr>
        <w:t xml:space="preserve">23 conseillers de ressources humaines </w:t>
      </w:r>
      <w:r w:rsidR="00DC66EA">
        <w:rPr>
          <w:rFonts w:ascii="Arial" w:hAnsi="Arial" w:cs="Arial"/>
          <w:sz w:val="20"/>
        </w:rPr>
        <w:t xml:space="preserve">exerçant </w:t>
      </w:r>
      <w:r w:rsidR="002812FE">
        <w:rPr>
          <w:rFonts w:ascii="Arial" w:hAnsi="Arial" w:cs="Arial"/>
          <w:sz w:val="20"/>
        </w:rPr>
        <w:t xml:space="preserve">sur un bassin donné </w:t>
      </w:r>
      <w:r w:rsidR="00797BC7">
        <w:rPr>
          <w:rFonts w:ascii="Arial" w:hAnsi="Arial" w:cs="Arial"/>
          <w:sz w:val="20"/>
        </w:rPr>
        <w:t>du territoire</w:t>
      </w:r>
      <w:r w:rsidR="00DC66EA" w:rsidRPr="00DC66EA">
        <w:rPr>
          <w:rFonts w:ascii="Arial" w:hAnsi="Arial" w:cs="Arial"/>
          <w:sz w:val="20"/>
        </w:rPr>
        <w:t xml:space="preserve"> pour répondre aux questions </w:t>
      </w:r>
      <w:r w:rsidR="002812FE">
        <w:rPr>
          <w:rFonts w:ascii="Arial" w:hAnsi="Arial" w:cs="Arial"/>
          <w:sz w:val="20"/>
        </w:rPr>
        <w:t>(</w:t>
      </w:r>
      <w:r w:rsidR="007800BA">
        <w:rPr>
          <w:rFonts w:ascii="Arial" w:hAnsi="Arial" w:cs="Arial"/>
          <w:sz w:val="20"/>
        </w:rPr>
        <w:t xml:space="preserve">d’évolution professionnelle, liées à un projet de formation, </w:t>
      </w:r>
      <w:r w:rsidR="002812FE">
        <w:rPr>
          <w:rFonts w:ascii="Arial" w:hAnsi="Arial" w:cs="Arial"/>
          <w:sz w:val="20"/>
        </w:rPr>
        <w:t>d’ordre social,</w:t>
      </w:r>
      <w:r w:rsidR="007A55E4">
        <w:rPr>
          <w:rFonts w:ascii="Arial" w:hAnsi="Arial" w:cs="Arial"/>
          <w:sz w:val="20"/>
        </w:rPr>
        <w:t xml:space="preserve"> </w:t>
      </w:r>
      <w:r w:rsidR="002812FE" w:rsidRPr="007A55E4">
        <w:rPr>
          <w:rFonts w:ascii="Arial" w:hAnsi="Arial" w:cs="Arial"/>
          <w:sz w:val="20"/>
        </w:rPr>
        <w:t>de statut</w:t>
      </w:r>
      <w:r w:rsidR="002812FE">
        <w:rPr>
          <w:rFonts w:ascii="Arial" w:hAnsi="Arial" w:cs="Arial"/>
          <w:sz w:val="20"/>
        </w:rPr>
        <w:t xml:space="preserve">, de prévention des conflits) </w:t>
      </w:r>
      <w:r w:rsidR="00DC66EA" w:rsidRPr="00DC66EA">
        <w:rPr>
          <w:rFonts w:ascii="Arial" w:hAnsi="Arial" w:cs="Arial"/>
          <w:sz w:val="20"/>
        </w:rPr>
        <w:t>des personnels de l'Éducation national</w:t>
      </w:r>
      <w:r w:rsidR="007800BA">
        <w:rPr>
          <w:rFonts w:ascii="Arial" w:hAnsi="Arial" w:cs="Arial"/>
          <w:sz w:val="20"/>
        </w:rPr>
        <w:t>e</w:t>
      </w:r>
      <w:r w:rsidR="00DC66EA" w:rsidRPr="00DC66EA">
        <w:rPr>
          <w:rFonts w:ascii="Arial" w:hAnsi="Arial" w:cs="Arial"/>
          <w:sz w:val="20"/>
        </w:rPr>
        <w:t>.</w:t>
      </w:r>
      <w:r w:rsidR="00797BC7">
        <w:rPr>
          <w:rFonts w:ascii="Arial" w:hAnsi="Arial" w:cs="Arial"/>
          <w:sz w:val="20"/>
        </w:rPr>
        <w:t xml:space="preserve"> </w:t>
      </w:r>
      <w:r w:rsidR="0052577A">
        <w:rPr>
          <w:rFonts w:ascii="Arial" w:hAnsi="Arial" w:cs="Arial"/>
          <w:sz w:val="20"/>
        </w:rPr>
        <w:t xml:space="preserve">Ces missions sont exercées en adjonction de </w:t>
      </w:r>
      <w:r w:rsidR="00797BC7">
        <w:rPr>
          <w:rFonts w:ascii="Arial" w:hAnsi="Arial" w:cs="Arial"/>
          <w:sz w:val="20"/>
        </w:rPr>
        <w:t xml:space="preserve">service </w:t>
      </w:r>
      <w:r w:rsidR="0052577A">
        <w:rPr>
          <w:rFonts w:ascii="Arial" w:hAnsi="Arial" w:cs="Arial"/>
          <w:sz w:val="20"/>
        </w:rPr>
        <w:t>par</w:t>
      </w:r>
      <w:r w:rsidR="00797BC7">
        <w:rPr>
          <w:rFonts w:ascii="Arial" w:hAnsi="Arial" w:cs="Arial"/>
          <w:sz w:val="20"/>
        </w:rPr>
        <w:t xml:space="preserve"> des adjoints gestionnaires </w:t>
      </w:r>
      <w:r w:rsidR="00FA7725">
        <w:rPr>
          <w:rFonts w:ascii="Arial" w:hAnsi="Arial" w:cs="Arial"/>
          <w:sz w:val="20"/>
        </w:rPr>
        <w:t>qui sont</w:t>
      </w:r>
      <w:r w:rsidR="00797BC7">
        <w:rPr>
          <w:rFonts w:ascii="Arial" w:hAnsi="Arial" w:cs="Arial"/>
          <w:sz w:val="20"/>
        </w:rPr>
        <w:t xml:space="preserve"> principalement affectés en collège.</w:t>
      </w:r>
    </w:p>
    <w:p w14:paraId="2758128E" w14:textId="77777777" w:rsidR="00DC66EA" w:rsidRPr="00797BC7" w:rsidRDefault="002812FE" w:rsidP="00615AC0">
      <w:pPr>
        <w:pStyle w:val="Paragraphedeliste"/>
        <w:numPr>
          <w:ilvl w:val="0"/>
          <w:numId w:val="7"/>
        </w:numPr>
        <w:spacing w:after="0"/>
        <w:jc w:val="both"/>
        <w:rPr>
          <w:rFonts w:ascii="Arial" w:hAnsi="Arial" w:cs="Arial"/>
          <w:sz w:val="18"/>
          <w:szCs w:val="20"/>
        </w:rPr>
      </w:pPr>
      <w:r w:rsidRPr="00797BC7">
        <w:rPr>
          <w:rFonts w:ascii="Arial" w:hAnsi="Arial" w:cs="Arial"/>
          <w:sz w:val="20"/>
        </w:rPr>
        <w:t>l’académie de Lyon a mis en place une agence RH de proximité dans chacun des départements (Ain, Loire, Rhône). Dirigée par un(e) DRH de proximité, chacune de ces agences est composée de conseillers RH de proximité. Chaque agent peut ainsi contacter et/ou rencontrer un conseiller RH de proximité dans un lieu dédié près de son lieu d'exercice.</w:t>
      </w:r>
      <w:r w:rsidR="00797BC7" w:rsidRPr="00797BC7">
        <w:rPr>
          <w:rFonts w:ascii="Arial" w:hAnsi="Arial" w:cs="Arial"/>
          <w:sz w:val="20"/>
        </w:rPr>
        <w:t xml:space="preserve"> Cette offre s’inscrit dans une démarche de gestion humaine des ressources en proposant un accompagnement personnalisé des agents qui en expriment le besoin en termes d'évolution </w:t>
      </w:r>
      <w:r w:rsidR="0052577A">
        <w:rPr>
          <w:rFonts w:ascii="Arial" w:hAnsi="Arial" w:cs="Arial"/>
          <w:sz w:val="20"/>
        </w:rPr>
        <w:t>p</w:t>
      </w:r>
      <w:r w:rsidR="00797BC7" w:rsidRPr="00797BC7">
        <w:rPr>
          <w:rFonts w:ascii="Arial" w:hAnsi="Arial" w:cs="Arial"/>
          <w:sz w:val="20"/>
        </w:rPr>
        <w:t xml:space="preserve">rofessionnelle et de suivi du parcours professionnel (reconversion, projet de mobilité, formation, etc.). Une plateforme </w:t>
      </w:r>
      <w:r w:rsidR="0052577A">
        <w:rPr>
          <w:rFonts w:ascii="Arial" w:hAnsi="Arial" w:cs="Arial"/>
          <w:sz w:val="20"/>
        </w:rPr>
        <w:t xml:space="preserve">numérique </w:t>
      </w:r>
      <w:r w:rsidR="00797BC7" w:rsidRPr="00797BC7">
        <w:rPr>
          <w:rFonts w:ascii="Arial" w:hAnsi="Arial" w:cs="Arial"/>
          <w:sz w:val="20"/>
        </w:rPr>
        <w:t>« </w:t>
      </w:r>
      <w:hyperlink r:id="rId8" w:tgtFrame="_blank" w:history="1">
        <w:r w:rsidR="00797BC7" w:rsidRPr="00797BC7">
          <w:rPr>
            <w:rStyle w:val="Lienhypertexte"/>
            <w:rFonts w:ascii="Arial" w:hAnsi="Arial" w:cs="Arial"/>
            <w:sz w:val="20"/>
          </w:rPr>
          <w:t>ProxiRH</w:t>
        </w:r>
      </w:hyperlink>
      <w:r w:rsidR="00797BC7" w:rsidRPr="00797BC7">
        <w:rPr>
          <w:rFonts w:ascii="Arial" w:hAnsi="Arial" w:cs="Arial"/>
          <w:sz w:val="20"/>
        </w:rPr>
        <w:t> » est dédié à cet accompagnement.</w:t>
      </w:r>
    </w:p>
    <w:p w14:paraId="42C9B0DF" w14:textId="77777777" w:rsidR="007A55E4" w:rsidRDefault="007A55E4" w:rsidP="00615AC0">
      <w:pPr>
        <w:pStyle w:val="Paragraphedeliste"/>
        <w:ind w:left="0"/>
        <w:jc w:val="both"/>
        <w:rPr>
          <w:rFonts w:ascii="Arial" w:hAnsi="Arial" w:cs="Arial"/>
          <w:sz w:val="20"/>
          <w:szCs w:val="20"/>
          <w:u w:val="single"/>
        </w:rPr>
      </w:pPr>
    </w:p>
    <w:p w14:paraId="78CC885B" w14:textId="4A6FEC51" w:rsidR="00797BC7" w:rsidRPr="007A55E4" w:rsidRDefault="00475772" w:rsidP="007A55E4">
      <w:pPr>
        <w:jc w:val="both"/>
        <w:rPr>
          <w:rFonts w:ascii="Arial" w:hAnsi="Arial" w:cs="Arial"/>
          <w:sz w:val="20"/>
          <w:szCs w:val="20"/>
        </w:rPr>
      </w:pPr>
      <w:r w:rsidRPr="007A55E4">
        <w:rPr>
          <w:rFonts w:ascii="Arial" w:hAnsi="Arial" w:cs="Arial"/>
          <w:sz w:val="20"/>
          <w:szCs w:val="20"/>
        </w:rPr>
        <w:t>Des fiches de postes ont été publiées par les académies</w:t>
      </w:r>
      <w:r w:rsidR="000C0369" w:rsidRPr="007A55E4">
        <w:rPr>
          <w:rFonts w:ascii="Arial" w:hAnsi="Arial" w:cs="Arial"/>
          <w:sz w:val="20"/>
          <w:szCs w:val="20"/>
        </w:rPr>
        <w:t xml:space="preserve"> pour recruter les nouveaux conseillers, </w:t>
      </w:r>
      <w:r w:rsidRPr="007A55E4">
        <w:rPr>
          <w:rFonts w:ascii="Arial" w:hAnsi="Arial" w:cs="Arial"/>
          <w:sz w:val="20"/>
          <w:szCs w:val="20"/>
        </w:rPr>
        <w:t xml:space="preserve">sur la base d’une </w:t>
      </w:r>
      <w:hyperlink r:id="rId9" w:history="1">
        <w:r w:rsidRPr="007A55E4">
          <w:rPr>
            <w:rFonts w:ascii="Arial" w:hAnsi="Arial" w:cs="Arial"/>
            <w:sz w:val="20"/>
            <w:szCs w:val="20"/>
          </w:rPr>
          <w:t>proposition nationale</w:t>
        </w:r>
      </w:hyperlink>
      <w:r w:rsidR="000C0369" w:rsidRPr="007A55E4">
        <w:rPr>
          <w:rFonts w:ascii="Arial" w:hAnsi="Arial" w:cs="Arial"/>
          <w:sz w:val="20"/>
          <w:szCs w:val="20"/>
        </w:rPr>
        <w:t>.</w:t>
      </w:r>
      <w:bookmarkStart w:id="0" w:name="_GoBack"/>
      <w:bookmarkEnd w:id="0"/>
    </w:p>
    <w:p w14:paraId="00FA76C3" w14:textId="77777777" w:rsidR="00475772" w:rsidRDefault="00475772" w:rsidP="00615AC0">
      <w:pPr>
        <w:pStyle w:val="Paragraphedeliste"/>
        <w:ind w:left="0"/>
        <w:jc w:val="both"/>
        <w:rPr>
          <w:rFonts w:ascii="Arial" w:hAnsi="Arial" w:cs="Arial"/>
          <w:b/>
          <w:sz w:val="20"/>
          <w:szCs w:val="20"/>
          <w:u w:val="single"/>
        </w:rPr>
      </w:pPr>
    </w:p>
    <w:p w14:paraId="599802CB" w14:textId="77777777" w:rsidR="00615AC0" w:rsidRPr="004C6B3D" w:rsidRDefault="00615AC0" w:rsidP="00615AC0">
      <w:pPr>
        <w:pStyle w:val="Paragraphedeliste"/>
        <w:ind w:left="0"/>
        <w:jc w:val="both"/>
        <w:rPr>
          <w:rFonts w:ascii="Arial" w:hAnsi="Arial" w:cs="Arial"/>
          <w:b/>
          <w:sz w:val="20"/>
          <w:szCs w:val="20"/>
          <w:u w:val="single"/>
        </w:rPr>
      </w:pPr>
      <w:r w:rsidRPr="004C6B3D">
        <w:rPr>
          <w:rFonts w:ascii="Arial" w:hAnsi="Arial" w:cs="Arial"/>
          <w:b/>
          <w:sz w:val="20"/>
          <w:szCs w:val="20"/>
          <w:u w:val="single"/>
        </w:rPr>
        <w:t>II Une réflexion sur l’évolution du métier d’adjoint gestionnaire :</w:t>
      </w:r>
    </w:p>
    <w:p w14:paraId="37B009C7" w14:textId="77777777" w:rsidR="00615AC0" w:rsidRDefault="00615AC0" w:rsidP="00615AC0">
      <w:pPr>
        <w:jc w:val="both"/>
        <w:rPr>
          <w:rFonts w:ascii="Arial" w:hAnsi="Arial" w:cs="Arial"/>
          <w:sz w:val="20"/>
          <w:szCs w:val="20"/>
        </w:rPr>
      </w:pPr>
      <w:r w:rsidRPr="004C6B3D">
        <w:rPr>
          <w:rFonts w:ascii="Arial" w:hAnsi="Arial" w:cs="Arial"/>
          <w:sz w:val="20"/>
          <w:szCs w:val="20"/>
        </w:rPr>
        <w:t>Les différents acteurs du MENJS-MESRI s’accordent à dire que les problématiques rencontrées au sein des EPLE sont diverses et nécessitent une expertise à la fois technique et juridique. Les chefs d’établissement et les adjoints gestionnaires reconnaissent un besoin de professionnalisation et d’assistance dans l’exercice de ces compétences que la gestion individuelle par chaque EPLE ne garantit pas.</w:t>
      </w:r>
    </w:p>
    <w:p w14:paraId="7773DD93" w14:textId="18358BF2" w:rsidR="00FA7725" w:rsidRPr="004C6B3D" w:rsidRDefault="001B3B9A" w:rsidP="00615AC0">
      <w:pPr>
        <w:jc w:val="both"/>
        <w:rPr>
          <w:rFonts w:ascii="Arial" w:hAnsi="Arial" w:cs="Arial"/>
          <w:sz w:val="20"/>
          <w:szCs w:val="20"/>
        </w:rPr>
      </w:pPr>
      <w:r>
        <w:rPr>
          <w:rFonts w:ascii="Arial" w:hAnsi="Arial" w:cs="Arial"/>
          <w:sz w:val="20"/>
          <w:szCs w:val="20"/>
        </w:rPr>
        <w:t>Dans ce contexte, q</w:t>
      </w:r>
      <w:r w:rsidR="003A4500">
        <w:rPr>
          <w:rFonts w:ascii="Arial" w:hAnsi="Arial" w:cs="Arial"/>
          <w:sz w:val="20"/>
          <w:szCs w:val="20"/>
        </w:rPr>
        <w:t>uatre</w:t>
      </w:r>
      <w:r w:rsidR="00FA7725">
        <w:rPr>
          <w:rFonts w:ascii="Arial" w:hAnsi="Arial" w:cs="Arial"/>
          <w:sz w:val="20"/>
          <w:szCs w:val="20"/>
        </w:rPr>
        <w:t xml:space="preserve"> évolutions du métier d’adjoint gestionnaire peuvent être envisagées :</w:t>
      </w:r>
    </w:p>
    <w:p w14:paraId="330838C7" w14:textId="77777777" w:rsidR="000138E1" w:rsidRDefault="00797BC7" w:rsidP="00797BC7">
      <w:pPr>
        <w:pStyle w:val="Paragraphedeliste"/>
        <w:numPr>
          <w:ilvl w:val="0"/>
          <w:numId w:val="2"/>
        </w:numPr>
        <w:jc w:val="both"/>
        <w:rPr>
          <w:rFonts w:ascii="Arial" w:hAnsi="Arial" w:cs="Arial"/>
          <w:sz w:val="20"/>
          <w:szCs w:val="20"/>
        </w:rPr>
      </w:pPr>
      <w:r>
        <w:rPr>
          <w:rFonts w:ascii="Arial" w:hAnsi="Arial" w:cs="Arial"/>
          <w:sz w:val="20"/>
          <w:szCs w:val="20"/>
        </w:rPr>
        <w:t>L’a</w:t>
      </w:r>
      <w:r w:rsidRPr="00797BC7">
        <w:rPr>
          <w:rFonts w:ascii="Arial" w:hAnsi="Arial" w:cs="Arial"/>
          <w:sz w:val="20"/>
          <w:szCs w:val="20"/>
        </w:rPr>
        <w:t>djoint</w:t>
      </w:r>
      <w:r w:rsidR="00557D8F">
        <w:rPr>
          <w:rFonts w:ascii="Arial" w:hAnsi="Arial" w:cs="Arial"/>
          <w:sz w:val="20"/>
          <w:szCs w:val="20"/>
        </w:rPr>
        <w:t xml:space="preserve"> </w:t>
      </w:r>
      <w:r w:rsidRPr="00797BC7">
        <w:rPr>
          <w:rFonts w:ascii="Arial" w:hAnsi="Arial" w:cs="Arial"/>
          <w:sz w:val="20"/>
          <w:szCs w:val="20"/>
        </w:rPr>
        <w:t xml:space="preserve">gestionnaire </w:t>
      </w:r>
      <w:r>
        <w:rPr>
          <w:rFonts w:ascii="Arial" w:hAnsi="Arial" w:cs="Arial"/>
          <w:sz w:val="20"/>
          <w:szCs w:val="20"/>
        </w:rPr>
        <w:t>pourrait devenir un coordonnateur</w:t>
      </w:r>
      <w:r w:rsidR="003428AD">
        <w:rPr>
          <w:rFonts w:ascii="Arial" w:hAnsi="Arial" w:cs="Arial"/>
          <w:sz w:val="20"/>
          <w:szCs w:val="20"/>
        </w:rPr>
        <w:t xml:space="preserve"> </w:t>
      </w:r>
      <w:r w:rsidR="00FA7725">
        <w:rPr>
          <w:rFonts w:ascii="Arial" w:hAnsi="Arial" w:cs="Arial"/>
          <w:sz w:val="20"/>
          <w:szCs w:val="20"/>
        </w:rPr>
        <w:t>(</w:t>
      </w:r>
      <w:r w:rsidR="003428AD">
        <w:rPr>
          <w:rFonts w:ascii="Arial" w:hAnsi="Arial" w:cs="Arial"/>
          <w:sz w:val="20"/>
          <w:szCs w:val="20"/>
        </w:rPr>
        <w:t>un expert</w:t>
      </w:r>
      <w:r w:rsidR="00FA7725">
        <w:rPr>
          <w:rFonts w:ascii="Arial" w:hAnsi="Arial" w:cs="Arial"/>
          <w:sz w:val="20"/>
          <w:szCs w:val="20"/>
        </w:rPr>
        <w:t xml:space="preserve"> ? </w:t>
      </w:r>
      <w:r w:rsidR="003428AD">
        <w:rPr>
          <w:rFonts w:ascii="Arial" w:hAnsi="Arial" w:cs="Arial"/>
          <w:sz w:val="20"/>
          <w:szCs w:val="20"/>
        </w:rPr>
        <w:t>/</w:t>
      </w:r>
      <w:r w:rsidR="00FA7725">
        <w:rPr>
          <w:rFonts w:ascii="Arial" w:hAnsi="Arial" w:cs="Arial"/>
          <w:sz w:val="20"/>
          <w:szCs w:val="20"/>
        </w:rPr>
        <w:t xml:space="preserve"> </w:t>
      </w:r>
      <w:r w:rsidR="003428AD">
        <w:rPr>
          <w:rFonts w:ascii="Arial" w:hAnsi="Arial" w:cs="Arial"/>
          <w:sz w:val="20"/>
          <w:szCs w:val="20"/>
        </w:rPr>
        <w:t>un référent</w:t>
      </w:r>
      <w:r w:rsidR="00FA7725">
        <w:rPr>
          <w:rFonts w:ascii="Arial" w:hAnsi="Arial" w:cs="Arial"/>
          <w:sz w:val="20"/>
          <w:szCs w:val="20"/>
        </w:rPr>
        <w:t> ?)</w:t>
      </w:r>
      <w:r>
        <w:rPr>
          <w:rFonts w:ascii="Arial" w:hAnsi="Arial" w:cs="Arial"/>
          <w:sz w:val="20"/>
          <w:szCs w:val="20"/>
        </w:rPr>
        <w:t xml:space="preserve"> </w:t>
      </w:r>
      <w:r w:rsidR="003428AD">
        <w:rPr>
          <w:rFonts w:ascii="Arial" w:hAnsi="Arial" w:cs="Arial"/>
          <w:sz w:val="20"/>
          <w:szCs w:val="20"/>
        </w:rPr>
        <w:t>sur des thématiques spécifiques (juridique, santé-hygiène-sécurité etc.) dans le cadre</w:t>
      </w:r>
      <w:r w:rsidR="00590445">
        <w:rPr>
          <w:rFonts w:ascii="Arial" w:hAnsi="Arial" w:cs="Arial"/>
          <w:sz w:val="20"/>
          <w:szCs w:val="20"/>
        </w:rPr>
        <w:t>, par exemple,</w:t>
      </w:r>
      <w:r w:rsidR="003428AD">
        <w:rPr>
          <w:rFonts w:ascii="Arial" w:hAnsi="Arial" w:cs="Arial"/>
          <w:sz w:val="20"/>
          <w:szCs w:val="20"/>
        </w:rPr>
        <w:t xml:space="preserve"> d’une </w:t>
      </w:r>
      <w:r w:rsidRPr="00797BC7">
        <w:rPr>
          <w:rFonts w:ascii="Arial" w:hAnsi="Arial" w:cs="Arial"/>
          <w:b/>
          <w:sz w:val="20"/>
          <w:szCs w:val="20"/>
        </w:rPr>
        <w:t>mutualisation</w:t>
      </w:r>
      <w:r w:rsidRPr="00797BC7">
        <w:rPr>
          <w:rFonts w:ascii="Arial" w:hAnsi="Arial" w:cs="Arial"/>
          <w:sz w:val="20"/>
          <w:szCs w:val="20"/>
        </w:rPr>
        <w:t xml:space="preserve"> </w:t>
      </w:r>
      <w:r w:rsidRPr="00FA7725">
        <w:rPr>
          <w:rFonts w:ascii="Arial" w:hAnsi="Arial" w:cs="Arial"/>
          <w:b/>
          <w:sz w:val="20"/>
          <w:szCs w:val="20"/>
        </w:rPr>
        <w:t>inter-établissements</w:t>
      </w:r>
      <w:r w:rsidRPr="00797BC7">
        <w:rPr>
          <w:rFonts w:ascii="Arial" w:hAnsi="Arial" w:cs="Arial"/>
          <w:sz w:val="20"/>
          <w:szCs w:val="20"/>
        </w:rPr>
        <w:t>.</w:t>
      </w:r>
      <w:r>
        <w:rPr>
          <w:rFonts w:ascii="Arial" w:hAnsi="Arial" w:cs="Arial"/>
          <w:sz w:val="20"/>
          <w:szCs w:val="20"/>
        </w:rPr>
        <w:t xml:space="preserve"> </w:t>
      </w:r>
    </w:p>
    <w:p w14:paraId="5D77052E" w14:textId="77777777" w:rsidR="000138E1" w:rsidRDefault="000138E1" w:rsidP="000138E1">
      <w:pPr>
        <w:pStyle w:val="Paragraphedeliste"/>
        <w:jc w:val="both"/>
        <w:rPr>
          <w:rFonts w:ascii="Arial" w:hAnsi="Arial" w:cs="Arial"/>
          <w:sz w:val="20"/>
          <w:szCs w:val="20"/>
        </w:rPr>
      </w:pPr>
    </w:p>
    <w:p w14:paraId="3A0E9C37" w14:textId="77777777" w:rsidR="00797BC7" w:rsidRDefault="000138E1" w:rsidP="00797BC7">
      <w:pPr>
        <w:pStyle w:val="Paragraphedeliste"/>
        <w:numPr>
          <w:ilvl w:val="0"/>
          <w:numId w:val="2"/>
        </w:numPr>
        <w:jc w:val="both"/>
        <w:rPr>
          <w:rFonts w:ascii="Arial" w:hAnsi="Arial" w:cs="Arial"/>
          <w:sz w:val="20"/>
          <w:szCs w:val="20"/>
        </w:rPr>
      </w:pPr>
      <w:r>
        <w:rPr>
          <w:rFonts w:ascii="Arial" w:hAnsi="Arial" w:cs="Arial"/>
          <w:sz w:val="20"/>
          <w:szCs w:val="20"/>
        </w:rPr>
        <w:t>L’adjoint gestionnaire</w:t>
      </w:r>
      <w:r w:rsidR="003428AD">
        <w:rPr>
          <w:rFonts w:ascii="Arial" w:hAnsi="Arial" w:cs="Arial"/>
          <w:sz w:val="20"/>
          <w:szCs w:val="20"/>
        </w:rPr>
        <w:t xml:space="preserve"> pourrait </w:t>
      </w:r>
      <w:r>
        <w:rPr>
          <w:rFonts w:ascii="Arial" w:hAnsi="Arial" w:cs="Arial"/>
          <w:sz w:val="20"/>
          <w:szCs w:val="20"/>
        </w:rPr>
        <w:t xml:space="preserve">aussi pouvoir </w:t>
      </w:r>
      <w:r w:rsidR="003428AD">
        <w:rPr>
          <w:rFonts w:ascii="Arial" w:hAnsi="Arial" w:cs="Arial"/>
          <w:sz w:val="20"/>
          <w:szCs w:val="20"/>
        </w:rPr>
        <w:t>exercer la fonction de RH</w:t>
      </w:r>
      <w:r w:rsidR="003428AD" w:rsidRPr="00797BC7">
        <w:rPr>
          <w:rFonts w:ascii="Arial" w:hAnsi="Arial" w:cs="Arial"/>
          <w:sz w:val="20"/>
          <w:szCs w:val="20"/>
        </w:rPr>
        <w:t xml:space="preserve"> de proximité</w:t>
      </w:r>
      <w:r w:rsidR="003428AD" w:rsidRPr="003428AD">
        <w:rPr>
          <w:rFonts w:ascii="Arial" w:hAnsi="Arial" w:cs="Arial"/>
          <w:sz w:val="20"/>
          <w:szCs w:val="20"/>
        </w:rPr>
        <w:t xml:space="preserve"> </w:t>
      </w:r>
      <w:r w:rsidR="00590445">
        <w:rPr>
          <w:rFonts w:ascii="Arial" w:hAnsi="Arial" w:cs="Arial"/>
          <w:sz w:val="20"/>
          <w:szCs w:val="20"/>
        </w:rPr>
        <w:t>pour tous les personnels</w:t>
      </w:r>
      <w:r>
        <w:rPr>
          <w:rFonts w:ascii="Arial" w:hAnsi="Arial" w:cs="Arial"/>
          <w:sz w:val="20"/>
          <w:szCs w:val="20"/>
        </w:rPr>
        <w:t xml:space="preserve"> selon les modalités académiques retenues</w:t>
      </w:r>
      <w:r w:rsidR="00590445">
        <w:rPr>
          <w:rFonts w:ascii="Arial" w:hAnsi="Arial" w:cs="Arial"/>
          <w:sz w:val="20"/>
          <w:szCs w:val="20"/>
        </w:rPr>
        <w:t>.</w:t>
      </w:r>
    </w:p>
    <w:p w14:paraId="5D8BB009" w14:textId="77777777" w:rsidR="00797BC7" w:rsidRPr="00797BC7" w:rsidRDefault="00797BC7" w:rsidP="00797BC7">
      <w:pPr>
        <w:pStyle w:val="Paragraphedeliste"/>
        <w:jc w:val="both"/>
        <w:rPr>
          <w:rFonts w:ascii="Arial" w:hAnsi="Arial" w:cs="Arial"/>
          <w:sz w:val="20"/>
          <w:szCs w:val="20"/>
        </w:rPr>
      </w:pPr>
    </w:p>
    <w:p w14:paraId="52ED431A" w14:textId="77777777" w:rsidR="00615AC0" w:rsidRDefault="00615AC0" w:rsidP="00797BC7">
      <w:pPr>
        <w:pStyle w:val="Paragraphedeliste"/>
        <w:numPr>
          <w:ilvl w:val="0"/>
          <w:numId w:val="2"/>
        </w:numPr>
        <w:jc w:val="both"/>
        <w:rPr>
          <w:rFonts w:ascii="Arial" w:hAnsi="Arial" w:cs="Arial"/>
          <w:sz w:val="20"/>
          <w:szCs w:val="20"/>
        </w:rPr>
      </w:pPr>
      <w:r w:rsidRPr="00797BC7">
        <w:rPr>
          <w:rFonts w:ascii="Arial" w:hAnsi="Arial" w:cs="Arial"/>
          <w:sz w:val="20"/>
          <w:szCs w:val="20"/>
        </w:rPr>
        <w:t xml:space="preserve">Le périmètre des missions de l’adjoint gestionnaire, compte tenu de l’intervention croissante des CT dans la gestion des EPLE, pourrait évoluer notamment grâce à la création d’une </w:t>
      </w:r>
      <w:r w:rsidRPr="00797BC7">
        <w:rPr>
          <w:rFonts w:ascii="Arial" w:hAnsi="Arial" w:cs="Arial"/>
          <w:b/>
          <w:sz w:val="20"/>
          <w:szCs w:val="20"/>
        </w:rPr>
        <w:t>direction des services budgétaire et administratif</w:t>
      </w:r>
      <w:r w:rsidRPr="00797BC7">
        <w:rPr>
          <w:rFonts w:ascii="Arial" w:hAnsi="Arial" w:cs="Arial"/>
          <w:sz w:val="20"/>
          <w:szCs w:val="20"/>
        </w:rPr>
        <w:t>. Le responsable de la direction disposerait d’une équipe renforcée et il serait secondé par un ou plusieurs cadres A. Cela lui permettrait de coordonner et d’apporter conseils et expertises aux gestionnaires et chefs d’établissement des EPLE rattachés.</w:t>
      </w:r>
    </w:p>
    <w:p w14:paraId="7334239E" w14:textId="77777777" w:rsidR="000138E1" w:rsidRDefault="000138E1" w:rsidP="000138E1">
      <w:pPr>
        <w:pStyle w:val="Paragraphedeliste"/>
        <w:jc w:val="both"/>
        <w:rPr>
          <w:rFonts w:ascii="Arial" w:hAnsi="Arial" w:cs="Arial"/>
          <w:sz w:val="20"/>
          <w:szCs w:val="20"/>
        </w:rPr>
      </w:pPr>
    </w:p>
    <w:p w14:paraId="3247692C" w14:textId="77777777" w:rsidR="000138E1" w:rsidRDefault="000138E1" w:rsidP="00797BC7">
      <w:pPr>
        <w:pStyle w:val="Paragraphedeliste"/>
        <w:numPr>
          <w:ilvl w:val="0"/>
          <w:numId w:val="2"/>
        </w:numPr>
        <w:jc w:val="both"/>
        <w:rPr>
          <w:rFonts w:ascii="Arial" w:hAnsi="Arial" w:cs="Arial"/>
          <w:sz w:val="20"/>
          <w:szCs w:val="20"/>
        </w:rPr>
      </w:pPr>
      <w:r>
        <w:rPr>
          <w:rFonts w:ascii="Arial" w:hAnsi="Arial" w:cs="Arial"/>
          <w:sz w:val="20"/>
          <w:szCs w:val="20"/>
        </w:rPr>
        <w:t>L’adjoint gestionnaire pourrait devenir le manager de l’ensemble des personnels non-enseignant</w:t>
      </w:r>
      <w:r w:rsidR="00721FB2">
        <w:rPr>
          <w:rFonts w:ascii="Arial" w:hAnsi="Arial" w:cs="Arial"/>
          <w:sz w:val="20"/>
          <w:szCs w:val="20"/>
        </w:rPr>
        <w:t>s</w:t>
      </w:r>
      <w:r w:rsidR="003A4500">
        <w:rPr>
          <w:rFonts w:ascii="Arial" w:hAnsi="Arial" w:cs="Arial"/>
          <w:sz w:val="20"/>
          <w:szCs w:val="20"/>
        </w:rPr>
        <w:t xml:space="preserve"> au sein de l’EPLE,</w:t>
      </w:r>
      <w:r>
        <w:rPr>
          <w:rFonts w:ascii="Arial" w:hAnsi="Arial" w:cs="Arial"/>
          <w:sz w:val="20"/>
          <w:szCs w:val="20"/>
        </w:rPr>
        <w:t xml:space="preserve"> permettant au personnel de direction d’être assisté dans les </w:t>
      </w:r>
      <w:r>
        <w:rPr>
          <w:rFonts w:ascii="Arial" w:hAnsi="Arial" w:cs="Arial"/>
          <w:sz w:val="20"/>
          <w:szCs w:val="20"/>
        </w:rPr>
        <w:lastRenderedPageBreak/>
        <w:t xml:space="preserve">fonctions </w:t>
      </w:r>
      <w:r w:rsidR="003A4500">
        <w:rPr>
          <w:rFonts w:ascii="Arial" w:hAnsi="Arial" w:cs="Arial"/>
          <w:sz w:val="20"/>
          <w:szCs w:val="20"/>
        </w:rPr>
        <w:t>d’encadrement,</w:t>
      </w:r>
      <w:r>
        <w:rPr>
          <w:rFonts w:ascii="Arial" w:hAnsi="Arial" w:cs="Arial"/>
          <w:sz w:val="20"/>
          <w:szCs w:val="20"/>
        </w:rPr>
        <w:t xml:space="preserve"> et ainsi </w:t>
      </w:r>
      <w:r w:rsidR="003A4500">
        <w:rPr>
          <w:rFonts w:ascii="Arial" w:hAnsi="Arial" w:cs="Arial"/>
          <w:sz w:val="20"/>
          <w:szCs w:val="20"/>
        </w:rPr>
        <w:t>de pouvoir se</w:t>
      </w:r>
      <w:r>
        <w:rPr>
          <w:rFonts w:ascii="Arial" w:hAnsi="Arial" w:cs="Arial"/>
          <w:sz w:val="20"/>
          <w:szCs w:val="20"/>
        </w:rPr>
        <w:t xml:space="preserve"> consacrer </w:t>
      </w:r>
      <w:r w:rsidR="003A4500">
        <w:rPr>
          <w:rFonts w:ascii="Arial" w:hAnsi="Arial" w:cs="Arial"/>
          <w:sz w:val="20"/>
          <w:szCs w:val="20"/>
        </w:rPr>
        <w:t xml:space="preserve">pleinement </w:t>
      </w:r>
      <w:r>
        <w:rPr>
          <w:rFonts w:ascii="Arial" w:hAnsi="Arial" w:cs="Arial"/>
          <w:sz w:val="20"/>
          <w:szCs w:val="20"/>
        </w:rPr>
        <w:t>à l’accomplissement de</w:t>
      </w:r>
      <w:r w:rsidR="003A4500">
        <w:rPr>
          <w:rFonts w:ascii="Arial" w:hAnsi="Arial" w:cs="Arial"/>
          <w:sz w:val="20"/>
          <w:szCs w:val="20"/>
        </w:rPr>
        <w:t xml:space="preserve"> </w:t>
      </w:r>
      <w:r>
        <w:rPr>
          <w:rFonts w:ascii="Arial" w:hAnsi="Arial" w:cs="Arial"/>
          <w:sz w:val="20"/>
          <w:szCs w:val="20"/>
        </w:rPr>
        <w:t>s</w:t>
      </w:r>
      <w:r w:rsidR="003A4500">
        <w:rPr>
          <w:rFonts w:ascii="Arial" w:hAnsi="Arial" w:cs="Arial"/>
          <w:sz w:val="20"/>
          <w:szCs w:val="20"/>
        </w:rPr>
        <w:t>a lettre</w:t>
      </w:r>
      <w:r>
        <w:rPr>
          <w:rFonts w:ascii="Arial" w:hAnsi="Arial" w:cs="Arial"/>
          <w:sz w:val="20"/>
          <w:szCs w:val="20"/>
        </w:rPr>
        <w:t xml:space="preserve"> de mission</w:t>
      </w:r>
      <w:r w:rsidR="003A4500">
        <w:rPr>
          <w:rFonts w:ascii="Arial" w:hAnsi="Arial" w:cs="Arial"/>
          <w:sz w:val="20"/>
          <w:szCs w:val="20"/>
        </w:rPr>
        <w:t>.</w:t>
      </w:r>
      <w:r>
        <w:rPr>
          <w:rFonts w:ascii="Arial" w:hAnsi="Arial" w:cs="Arial"/>
          <w:sz w:val="20"/>
          <w:szCs w:val="20"/>
        </w:rPr>
        <w:t xml:space="preserve"> </w:t>
      </w:r>
    </w:p>
    <w:p w14:paraId="789A91BA" w14:textId="77777777" w:rsidR="00615AC0" w:rsidRPr="004C6B3D" w:rsidRDefault="00615AC0" w:rsidP="00615AC0">
      <w:pPr>
        <w:jc w:val="both"/>
        <w:rPr>
          <w:rFonts w:ascii="Arial" w:hAnsi="Arial" w:cs="Arial"/>
          <w:sz w:val="20"/>
          <w:szCs w:val="20"/>
        </w:rPr>
      </w:pPr>
      <w:r w:rsidRPr="004C6B3D">
        <w:rPr>
          <w:rFonts w:ascii="Arial" w:hAnsi="Arial" w:cs="Arial"/>
          <w:sz w:val="20"/>
          <w:szCs w:val="20"/>
        </w:rPr>
        <w:t>Ce</w:t>
      </w:r>
      <w:r>
        <w:rPr>
          <w:rFonts w:ascii="Arial" w:hAnsi="Arial" w:cs="Arial"/>
          <w:sz w:val="20"/>
          <w:szCs w:val="20"/>
        </w:rPr>
        <w:t xml:space="preserve">s propositions </w:t>
      </w:r>
      <w:r w:rsidRPr="004C6B3D">
        <w:rPr>
          <w:rFonts w:ascii="Arial" w:hAnsi="Arial" w:cs="Arial"/>
          <w:sz w:val="20"/>
          <w:szCs w:val="20"/>
        </w:rPr>
        <w:t>nécessite</w:t>
      </w:r>
      <w:r>
        <w:rPr>
          <w:rFonts w:ascii="Arial" w:hAnsi="Arial" w:cs="Arial"/>
          <w:sz w:val="20"/>
          <w:szCs w:val="20"/>
        </w:rPr>
        <w:t>nt</w:t>
      </w:r>
      <w:r w:rsidRPr="004C6B3D">
        <w:rPr>
          <w:rFonts w:ascii="Arial" w:hAnsi="Arial" w:cs="Arial"/>
          <w:sz w:val="20"/>
          <w:szCs w:val="20"/>
        </w:rPr>
        <w:t xml:space="preserve"> une réflexion </w:t>
      </w:r>
      <w:r>
        <w:rPr>
          <w:rFonts w:ascii="Arial" w:hAnsi="Arial" w:cs="Arial"/>
          <w:sz w:val="20"/>
          <w:szCs w:val="20"/>
        </w:rPr>
        <w:t xml:space="preserve">portant </w:t>
      </w:r>
      <w:r w:rsidRPr="004C6B3D">
        <w:rPr>
          <w:rFonts w:ascii="Arial" w:hAnsi="Arial" w:cs="Arial"/>
          <w:sz w:val="20"/>
          <w:szCs w:val="20"/>
        </w:rPr>
        <w:t>à la fois sur :</w:t>
      </w:r>
    </w:p>
    <w:p w14:paraId="5CD5771E" w14:textId="77777777" w:rsidR="00615AC0" w:rsidRPr="004C6B3D" w:rsidRDefault="00615AC0" w:rsidP="00615AC0">
      <w:pPr>
        <w:pStyle w:val="Paragraphedeliste"/>
        <w:numPr>
          <w:ilvl w:val="0"/>
          <w:numId w:val="4"/>
        </w:numPr>
        <w:jc w:val="both"/>
        <w:rPr>
          <w:rFonts w:ascii="Arial" w:hAnsi="Arial" w:cs="Arial"/>
          <w:sz w:val="20"/>
          <w:szCs w:val="20"/>
        </w:rPr>
      </w:pPr>
      <w:r w:rsidRPr="004C6B3D">
        <w:rPr>
          <w:rFonts w:ascii="Arial" w:hAnsi="Arial" w:cs="Arial"/>
          <w:sz w:val="20"/>
          <w:szCs w:val="20"/>
        </w:rPr>
        <w:t>le périmètre des missions confiées </w:t>
      </w:r>
      <w:r>
        <w:rPr>
          <w:rFonts w:ascii="Arial" w:hAnsi="Arial" w:cs="Arial"/>
          <w:sz w:val="20"/>
          <w:szCs w:val="20"/>
        </w:rPr>
        <w:t>aux AAE exerçant en EPLE</w:t>
      </w:r>
      <w:r w:rsidRPr="004C6B3D">
        <w:rPr>
          <w:rFonts w:ascii="Arial" w:hAnsi="Arial" w:cs="Arial"/>
          <w:sz w:val="20"/>
          <w:szCs w:val="20"/>
        </w:rPr>
        <w:t>;</w:t>
      </w:r>
    </w:p>
    <w:p w14:paraId="04479F21" w14:textId="77777777" w:rsidR="00615AC0" w:rsidRPr="004C6B3D" w:rsidRDefault="00615AC0" w:rsidP="00615AC0">
      <w:pPr>
        <w:pStyle w:val="Paragraphedeliste"/>
        <w:numPr>
          <w:ilvl w:val="0"/>
          <w:numId w:val="4"/>
        </w:numPr>
        <w:jc w:val="both"/>
        <w:rPr>
          <w:rFonts w:ascii="Arial" w:hAnsi="Arial" w:cs="Arial"/>
          <w:sz w:val="20"/>
          <w:szCs w:val="20"/>
        </w:rPr>
      </w:pPr>
      <w:r w:rsidRPr="004C6B3D">
        <w:rPr>
          <w:rFonts w:ascii="Arial" w:hAnsi="Arial" w:cs="Arial"/>
          <w:sz w:val="20"/>
          <w:szCs w:val="20"/>
        </w:rPr>
        <w:t>l’intitulé de la fonction</w:t>
      </w:r>
      <w:r>
        <w:rPr>
          <w:rFonts w:ascii="Arial" w:hAnsi="Arial" w:cs="Arial"/>
          <w:sz w:val="20"/>
          <w:szCs w:val="20"/>
        </w:rPr>
        <w:t>,</w:t>
      </w:r>
      <w:r w:rsidRPr="004C6B3D">
        <w:rPr>
          <w:rFonts w:ascii="Arial" w:hAnsi="Arial" w:cs="Arial"/>
          <w:sz w:val="20"/>
          <w:szCs w:val="20"/>
        </w:rPr>
        <w:t xml:space="preserve"> la dénomination «</w:t>
      </w:r>
      <w:r w:rsidR="000144F9">
        <w:rPr>
          <w:rFonts w:ascii="Arial" w:hAnsi="Arial" w:cs="Arial"/>
          <w:sz w:val="20"/>
          <w:szCs w:val="20"/>
        </w:rPr>
        <w:t> d’adjoint gestionnaire » semblant</w:t>
      </w:r>
      <w:r w:rsidRPr="004C6B3D">
        <w:rPr>
          <w:rFonts w:ascii="Arial" w:hAnsi="Arial" w:cs="Arial"/>
          <w:sz w:val="20"/>
          <w:szCs w:val="20"/>
        </w:rPr>
        <w:t xml:space="preserve"> d</w:t>
      </w:r>
      <w:r w:rsidR="000144F9">
        <w:rPr>
          <w:rFonts w:ascii="Arial" w:hAnsi="Arial" w:cs="Arial"/>
          <w:sz w:val="20"/>
          <w:szCs w:val="20"/>
        </w:rPr>
        <w:t>ésormais inadaptée et ne reflétant</w:t>
      </w:r>
      <w:r w:rsidRPr="004C6B3D">
        <w:rPr>
          <w:rFonts w:ascii="Arial" w:hAnsi="Arial" w:cs="Arial"/>
          <w:sz w:val="20"/>
          <w:szCs w:val="20"/>
        </w:rPr>
        <w:t xml:space="preserve"> pas les responsabilités et missions des agents ;</w:t>
      </w:r>
    </w:p>
    <w:p w14:paraId="4AB077AD" w14:textId="77777777" w:rsidR="0092156B" w:rsidRDefault="00615AC0" w:rsidP="00615AC0">
      <w:pPr>
        <w:pStyle w:val="Paragraphedeliste"/>
        <w:numPr>
          <w:ilvl w:val="0"/>
          <w:numId w:val="4"/>
        </w:numPr>
        <w:jc w:val="both"/>
        <w:rPr>
          <w:rFonts w:ascii="Arial" w:hAnsi="Arial" w:cs="Arial"/>
          <w:sz w:val="20"/>
          <w:szCs w:val="20"/>
        </w:rPr>
      </w:pPr>
      <w:r w:rsidRPr="004C6B3D">
        <w:rPr>
          <w:rFonts w:ascii="Arial" w:hAnsi="Arial" w:cs="Arial"/>
          <w:sz w:val="20"/>
          <w:szCs w:val="20"/>
        </w:rPr>
        <w:t>l’articulation de cette fonction avec les autres acteurs</w:t>
      </w:r>
      <w:r>
        <w:rPr>
          <w:rFonts w:ascii="Arial" w:hAnsi="Arial" w:cs="Arial"/>
          <w:sz w:val="20"/>
          <w:szCs w:val="20"/>
        </w:rPr>
        <w:t xml:space="preserve"> professionnels</w:t>
      </w:r>
    </w:p>
    <w:p w14:paraId="6D15651C" w14:textId="77777777" w:rsidR="00BE26A8" w:rsidRPr="004C6B3D" w:rsidRDefault="00615AC0" w:rsidP="002E16C6">
      <w:pPr>
        <w:jc w:val="both"/>
        <w:rPr>
          <w:rFonts w:ascii="Arial" w:hAnsi="Arial" w:cs="Arial"/>
          <w:b/>
          <w:sz w:val="20"/>
          <w:szCs w:val="20"/>
          <w:u w:val="single"/>
        </w:rPr>
      </w:pPr>
      <w:r>
        <w:rPr>
          <w:rFonts w:ascii="Arial" w:hAnsi="Arial" w:cs="Arial"/>
          <w:b/>
          <w:sz w:val="20"/>
          <w:szCs w:val="20"/>
          <w:u w:val="single"/>
        </w:rPr>
        <w:t>I</w:t>
      </w:r>
      <w:r w:rsidR="00BE26A8" w:rsidRPr="004C6B3D">
        <w:rPr>
          <w:rFonts w:ascii="Arial" w:hAnsi="Arial" w:cs="Arial"/>
          <w:b/>
          <w:sz w:val="20"/>
          <w:szCs w:val="20"/>
          <w:u w:val="single"/>
        </w:rPr>
        <w:t>II De nouveaux métiers en construction</w:t>
      </w:r>
      <w:r w:rsidR="00AE4B79" w:rsidRPr="004C6B3D">
        <w:rPr>
          <w:rFonts w:ascii="Arial" w:hAnsi="Arial" w:cs="Arial"/>
          <w:b/>
          <w:sz w:val="20"/>
          <w:szCs w:val="20"/>
          <w:u w:val="single"/>
        </w:rPr>
        <w:t> :</w:t>
      </w:r>
    </w:p>
    <w:p w14:paraId="68D4D715" w14:textId="77777777" w:rsidR="00B27FBA" w:rsidRDefault="008405DB" w:rsidP="002E16C6">
      <w:pPr>
        <w:jc w:val="both"/>
        <w:rPr>
          <w:rFonts w:ascii="Arial" w:hAnsi="Arial" w:cs="Arial"/>
          <w:sz w:val="20"/>
          <w:szCs w:val="20"/>
        </w:rPr>
      </w:pPr>
      <w:r w:rsidRPr="004C6B3D">
        <w:rPr>
          <w:rFonts w:ascii="Arial" w:hAnsi="Arial" w:cs="Arial"/>
          <w:sz w:val="20"/>
          <w:szCs w:val="20"/>
        </w:rPr>
        <w:t>La mise en place des « EPLE payeurs » a conduit à une réflexion sur les nouveaux défis auxquels ces derniers sont confrontés (prélèvement à la source, mise en place du projet OPER@ etc.). Les retours d’expérience des cinq académies (Caen, Dijon, Poitiers, Strasbourg et Aix-Marseille) ayant été pilotes du projet OPER@ condui</w:t>
      </w:r>
      <w:r w:rsidR="007F5B32">
        <w:rPr>
          <w:rFonts w:ascii="Arial" w:hAnsi="Arial" w:cs="Arial"/>
          <w:sz w:val="20"/>
          <w:szCs w:val="20"/>
        </w:rPr>
        <w:t>sent</w:t>
      </w:r>
      <w:r w:rsidRPr="004C6B3D">
        <w:rPr>
          <w:rFonts w:ascii="Arial" w:hAnsi="Arial" w:cs="Arial"/>
          <w:sz w:val="20"/>
          <w:szCs w:val="20"/>
        </w:rPr>
        <w:t xml:space="preserve"> à réfléchir à l’opportunité de créer deux nouvelles fonctions :</w:t>
      </w:r>
    </w:p>
    <w:p w14:paraId="484C40D5" w14:textId="77777777" w:rsidR="00E76619" w:rsidRPr="004C6B3D" w:rsidRDefault="00E76619" w:rsidP="002E16C6">
      <w:pPr>
        <w:jc w:val="both"/>
        <w:rPr>
          <w:rFonts w:ascii="Arial" w:hAnsi="Arial" w:cs="Arial"/>
          <w:sz w:val="20"/>
          <w:szCs w:val="20"/>
        </w:rPr>
      </w:pPr>
    </w:p>
    <w:p w14:paraId="305FFD0D" w14:textId="77777777" w:rsidR="00AF20D4" w:rsidRPr="004C6B3D" w:rsidRDefault="00AF20D4" w:rsidP="002E16C6">
      <w:pPr>
        <w:pStyle w:val="Paragraphedeliste"/>
        <w:numPr>
          <w:ilvl w:val="0"/>
          <w:numId w:val="1"/>
        </w:numPr>
        <w:jc w:val="both"/>
        <w:rPr>
          <w:rFonts w:ascii="Arial" w:hAnsi="Arial" w:cs="Arial"/>
          <w:sz w:val="20"/>
          <w:szCs w:val="20"/>
        </w:rPr>
      </w:pPr>
      <w:r w:rsidRPr="004C6B3D">
        <w:rPr>
          <w:rFonts w:ascii="Arial" w:hAnsi="Arial" w:cs="Arial"/>
          <w:sz w:val="20"/>
          <w:szCs w:val="20"/>
        </w:rPr>
        <w:t>Pilote de processus de pa</w:t>
      </w:r>
      <w:r w:rsidR="008405DB" w:rsidRPr="004C6B3D">
        <w:rPr>
          <w:rFonts w:ascii="Arial" w:hAnsi="Arial" w:cs="Arial"/>
          <w:sz w:val="20"/>
          <w:szCs w:val="20"/>
        </w:rPr>
        <w:t>ie</w:t>
      </w:r>
      <w:r w:rsidRPr="004C6B3D">
        <w:rPr>
          <w:rFonts w:ascii="Arial" w:hAnsi="Arial" w:cs="Arial"/>
          <w:sz w:val="20"/>
          <w:szCs w:val="20"/>
        </w:rPr>
        <w:t xml:space="preserve"> au sein de l’EPLE</w:t>
      </w:r>
      <w:r w:rsidR="001D1D40" w:rsidRPr="004C6B3D">
        <w:rPr>
          <w:rFonts w:ascii="Arial" w:hAnsi="Arial" w:cs="Arial"/>
          <w:sz w:val="20"/>
          <w:szCs w:val="20"/>
        </w:rPr>
        <w:t> </w:t>
      </w:r>
      <w:r w:rsidR="008405DB" w:rsidRPr="004C6B3D">
        <w:rPr>
          <w:rFonts w:ascii="Arial" w:hAnsi="Arial" w:cs="Arial"/>
          <w:sz w:val="20"/>
          <w:szCs w:val="20"/>
        </w:rPr>
        <w:t xml:space="preserve">mutualisateur </w:t>
      </w:r>
      <w:r w:rsidR="001D1D40" w:rsidRPr="004C6B3D">
        <w:rPr>
          <w:rFonts w:ascii="Arial" w:hAnsi="Arial" w:cs="Arial"/>
          <w:sz w:val="20"/>
          <w:szCs w:val="20"/>
        </w:rPr>
        <w:t>:</w:t>
      </w:r>
    </w:p>
    <w:p w14:paraId="6D7BB51C" w14:textId="77777777" w:rsidR="00AF20D4" w:rsidRPr="004C6B3D" w:rsidRDefault="00D43F41" w:rsidP="002E16C6">
      <w:pPr>
        <w:jc w:val="both"/>
        <w:rPr>
          <w:rFonts w:ascii="Arial" w:hAnsi="Arial" w:cs="Arial"/>
          <w:i/>
          <w:sz w:val="20"/>
          <w:szCs w:val="20"/>
        </w:rPr>
      </w:pPr>
      <w:r w:rsidRPr="004C6B3D">
        <w:rPr>
          <w:rFonts w:ascii="Arial" w:hAnsi="Arial" w:cs="Arial"/>
          <w:i/>
          <w:sz w:val="20"/>
          <w:szCs w:val="20"/>
        </w:rPr>
        <w:t>Ce métier est destiné à être exercé par les SAENES. L’agent recruté à ce titre devient alors responsable du cycle</w:t>
      </w:r>
      <w:r w:rsidR="0053409E" w:rsidRPr="004C6B3D">
        <w:rPr>
          <w:rFonts w:ascii="Arial" w:hAnsi="Arial" w:cs="Arial"/>
          <w:i/>
          <w:sz w:val="20"/>
          <w:szCs w:val="20"/>
        </w:rPr>
        <w:t xml:space="preserve"> mensuel de la paie. Cette fonction est créée</w:t>
      </w:r>
      <w:r w:rsidR="001D1D40" w:rsidRPr="004C6B3D">
        <w:rPr>
          <w:rFonts w:ascii="Arial" w:hAnsi="Arial" w:cs="Arial"/>
          <w:i/>
          <w:sz w:val="20"/>
          <w:szCs w:val="20"/>
        </w:rPr>
        <w:t xml:space="preserve"> dans certains EPLE (le besoin existe) mais sans fiche de poste associée.</w:t>
      </w:r>
      <w:r w:rsidR="008405DB" w:rsidRPr="004C6B3D">
        <w:rPr>
          <w:rFonts w:ascii="Arial" w:hAnsi="Arial" w:cs="Arial"/>
          <w:i/>
          <w:sz w:val="20"/>
          <w:szCs w:val="20"/>
        </w:rPr>
        <w:t xml:space="preserve"> </w:t>
      </w:r>
    </w:p>
    <w:p w14:paraId="3DDFE7C3" w14:textId="77777777" w:rsidR="001D1D40" w:rsidRPr="004C6B3D" w:rsidRDefault="008405DB" w:rsidP="002E16C6">
      <w:pPr>
        <w:pStyle w:val="Paragraphedeliste"/>
        <w:numPr>
          <w:ilvl w:val="0"/>
          <w:numId w:val="1"/>
        </w:numPr>
        <w:jc w:val="both"/>
        <w:rPr>
          <w:rFonts w:ascii="Arial" w:hAnsi="Arial" w:cs="Arial"/>
          <w:sz w:val="20"/>
          <w:szCs w:val="20"/>
        </w:rPr>
      </w:pPr>
      <w:r w:rsidRPr="004C6B3D">
        <w:rPr>
          <w:rFonts w:ascii="Arial" w:hAnsi="Arial" w:cs="Arial"/>
          <w:sz w:val="20"/>
          <w:szCs w:val="20"/>
        </w:rPr>
        <w:t>Référent académique « pai</w:t>
      </w:r>
      <w:r w:rsidR="001D1D40" w:rsidRPr="004C6B3D">
        <w:rPr>
          <w:rFonts w:ascii="Arial" w:hAnsi="Arial" w:cs="Arial"/>
          <w:sz w:val="20"/>
          <w:szCs w:val="20"/>
        </w:rPr>
        <w:t xml:space="preserve">e en </w:t>
      </w:r>
      <w:r w:rsidRPr="004C6B3D">
        <w:rPr>
          <w:rFonts w:ascii="Arial" w:hAnsi="Arial" w:cs="Arial"/>
          <w:sz w:val="20"/>
          <w:szCs w:val="20"/>
        </w:rPr>
        <w:t xml:space="preserve">EPLE » </w:t>
      </w:r>
      <w:r w:rsidR="001D1D40" w:rsidRPr="004C6B3D">
        <w:rPr>
          <w:rFonts w:ascii="Arial" w:hAnsi="Arial" w:cs="Arial"/>
          <w:sz w:val="20"/>
          <w:szCs w:val="20"/>
        </w:rPr>
        <w:t>:</w:t>
      </w:r>
    </w:p>
    <w:p w14:paraId="51CAEF97" w14:textId="77777777" w:rsidR="00E11712" w:rsidRPr="004C6B3D" w:rsidRDefault="00D43F41" w:rsidP="00E11712">
      <w:pPr>
        <w:spacing w:after="0"/>
        <w:jc w:val="both"/>
        <w:rPr>
          <w:rFonts w:ascii="Arial" w:hAnsi="Arial" w:cs="Arial"/>
          <w:i/>
          <w:sz w:val="20"/>
          <w:szCs w:val="20"/>
        </w:rPr>
      </w:pPr>
      <w:r w:rsidRPr="004C6B3D">
        <w:rPr>
          <w:rFonts w:ascii="Arial" w:hAnsi="Arial" w:cs="Arial"/>
          <w:i/>
          <w:sz w:val="20"/>
          <w:szCs w:val="20"/>
        </w:rPr>
        <w:t xml:space="preserve">Ce métier est destiné à être exercé par les AAE. </w:t>
      </w:r>
      <w:r w:rsidR="00E11712" w:rsidRPr="004C6B3D">
        <w:rPr>
          <w:rFonts w:ascii="Arial" w:hAnsi="Arial" w:cs="Arial"/>
          <w:i/>
          <w:sz w:val="20"/>
          <w:szCs w:val="20"/>
        </w:rPr>
        <w:t>La mise en place</w:t>
      </w:r>
      <w:r w:rsidR="0053409E" w:rsidRPr="004C6B3D">
        <w:rPr>
          <w:rFonts w:ascii="Arial" w:hAnsi="Arial" w:cs="Arial"/>
          <w:i/>
          <w:sz w:val="20"/>
          <w:szCs w:val="20"/>
        </w:rPr>
        <w:t xml:space="preserve"> </w:t>
      </w:r>
      <w:r w:rsidR="00E11712" w:rsidRPr="004C6B3D">
        <w:rPr>
          <w:rFonts w:ascii="Arial" w:hAnsi="Arial" w:cs="Arial"/>
          <w:i/>
          <w:sz w:val="20"/>
          <w:szCs w:val="20"/>
        </w:rPr>
        <w:t xml:space="preserve">au sein de chaque académie </w:t>
      </w:r>
      <w:r w:rsidR="0053409E" w:rsidRPr="004C6B3D">
        <w:rPr>
          <w:rFonts w:ascii="Arial" w:hAnsi="Arial" w:cs="Arial"/>
          <w:i/>
          <w:sz w:val="20"/>
          <w:szCs w:val="20"/>
        </w:rPr>
        <w:t>d</w:t>
      </w:r>
      <w:r w:rsidR="00E11712" w:rsidRPr="004C6B3D">
        <w:rPr>
          <w:rFonts w:ascii="Arial" w:hAnsi="Arial" w:cs="Arial"/>
          <w:i/>
          <w:sz w:val="20"/>
          <w:szCs w:val="20"/>
        </w:rPr>
        <w:t xml:space="preserve">’un </w:t>
      </w:r>
      <w:r w:rsidR="001D1D40" w:rsidRPr="004C6B3D">
        <w:rPr>
          <w:rFonts w:ascii="Arial" w:hAnsi="Arial" w:cs="Arial"/>
          <w:i/>
          <w:sz w:val="20"/>
          <w:szCs w:val="20"/>
        </w:rPr>
        <w:t xml:space="preserve">pôle pluridisciplinaire dont le </w:t>
      </w:r>
      <w:r w:rsidR="0053409E" w:rsidRPr="004C6B3D">
        <w:rPr>
          <w:rFonts w:ascii="Arial" w:hAnsi="Arial" w:cs="Arial"/>
          <w:i/>
          <w:sz w:val="20"/>
          <w:szCs w:val="20"/>
        </w:rPr>
        <w:t xml:space="preserve">rôle </w:t>
      </w:r>
      <w:r w:rsidR="00E11712" w:rsidRPr="004C6B3D">
        <w:rPr>
          <w:rFonts w:ascii="Arial" w:hAnsi="Arial" w:cs="Arial"/>
          <w:i/>
          <w:sz w:val="20"/>
          <w:szCs w:val="20"/>
        </w:rPr>
        <w:t xml:space="preserve">serait </w:t>
      </w:r>
      <w:r w:rsidR="0053409E" w:rsidRPr="004C6B3D">
        <w:rPr>
          <w:rFonts w:ascii="Arial" w:hAnsi="Arial" w:cs="Arial"/>
          <w:i/>
          <w:sz w:val="20"/>
          <w:szCs w:val="20"/>
        </w:rPr>
        <w:t>d’accompagner les EPLE est envisagée.</w:t>
      </w:r>
      <w:r w:rsidR="001D1D40" w:rsidRPr="004C6B3D">
        <w:rPr>
          <w:rFonts w:ascii="Arial" w:hAnsi="Arial" w:cs="Arial"/>
          <w:i/>
          <w:sz w:val="20"/>
          <w:szCs w:val="20"/>
        </w:rPr>
        <w:t xml:space="preserve"> </w:t>
      </w:r>
      <w:r w:rsidR="00E11712" w:rsidRPr="004C6B3D">
        <w:rPr>
          <w:rFonts w:ascii="Arial" w:hAnsi="Arial" w:cs="Arial"/>
          <w:i/>
          <w:sz w:val="20"/>
          <w:szCs w:val="20"/>
        </w:rPr>
        <w:t>Au sein de ce pôle, les</w:t>
      </w:r>
      <w:r w:rsidR="001D1D40" w:rsidRPr="004C6B3D">
        <w:rPr>
          <w:rFonts w:ascii="Arial" w:hAnsi="Arial" w:cs="Arial"/>
          <w:i/>
          <w:sz w:val="20"/>
          <w:szCs w:val="20"/>
        </w:rPr>
        <w:t xml:space="preserve"> métier</w:t>
      </w:r>
      <w:r w:rsidR="00E11712" w:rsidRPr="004C6B3D">
        <w:rPr>
          <w:rFonts w:ascii="Arial" w:hAnsi="Arial" w:cs="Arial"/>
          <w:i/>
          <w:sz w:val="20"/>
          <w:szCs w:val="20"/>
        </w:rPr>
        <w:t>s</w:t>
      </w:r>
      <w:r w:rsidR="001D1D40" w:rsidRPr="004C6B3D">
        <w:rPr>
          <w:rFonts w:ascii="Arial" w:hAnsi="Arial" w:cs="Arial"/>
          <w:i/>
          <w:sz w:val="20"/>
          <w:szCs w:val="20"/>
        </w:rPr>
        <w:t xml:space="preserve"> </w:t>
      </w:r>
      <w:r w:rsidR="00E11712" w:rsidRPr="004C6B3D">
        <w:rPr>
          <w:rFonts w:ascii="Arial" w:hAnsi="Arial" w:cs="Arial"/>
          <w:i/>
          <w:sz w:val="20"/>
          <w:szCs w:val="20"/>
        </w:rPr>
        <w:t>liés à l’</w:t>
      </w:r>
      <w:r w:rsidR="001D1D40" w:rsidRPr="004C6B3D">
        <w:rPr>
          <w:rFonts w:ascii="Arial" w:hAnsi="Arial" w:cs="Arial"/>
          <w:i/>
          <w:sz w:val="20"/>
          <w:szCs w:val="20"/>
        </w:rPr>
        <w:t>expert</w:t>
      </w:r>
      <w:r w:rsidR="00E11712" w:rsidRPr="004C6B3D">
        <w:rPr>
          <w:rFonts w:ascii="Arial" w:hAnsi="Arial" w:cs="Arial"/>
          <w:i/>
          <w:sz w:val="20"/>
          <w:szCs w:val="20"/>
        </w:rPr>
        <w:t>ise</w:t>
      </w:r>
      <w:r w:rsidR="001D1D40" w:rsidRPr="004C6B3D">
        <w:rPr>
          <w:rFonts w:ascii="Arial" w:hAnsi="Arial" w:cs="Arial"/>
          <w:i/>
          <w:sz w:val="20"/>
          <w:szCs w:val="20"/>
        </w:rPr>
        <w:t xml:space="preserve"> et </w:t>
      </w:r>
      <w:r w:rsidR="00E11712" w:rsidRPr="004C6B3D">
        <w:rPr>
          <w:rFonts w:ascii="Arial" w:hAnsi="Arial" w:cs="Arial"/>
          <w:i/>
          <w:sz w:val="20"/>
          <w:szCs w:val="20"/>
        </w:rPr>
        <w:t>au</w:t>
      </w:r>
      <w:r w:rsidR="001D1D40" w:rsidRPr="004C6B3D">
        <w:rPr>
          <w:rFonts w:ascii="Arial" w:hAnsi="Arial" w:cs="Arial"/>
          <w:i/>
          <w:sz w:val="20"/>
          <w:szCs w:val="20"/>
        </w:rPr>
        <w:t xml:space="preserve"> conseil</w:t>
      </w:r>
      <w:r w:rsidR="00E11712" w:rsidRPr="004C6B3D">
        <w:rPr>
          <w:rFonts w:ascii="Arial" w:hAnsi="Arial" w:cs="Arial"/>
          <w:i/>
          <w:sz w:val="20"/>
          <w:szCs w:val="20"/>
        </w:rPr>
        <w:t xml:space="preserve"> et notamment sur le volet de la rémunération seraient essentiels</w:t>
      </w:r>
      <w:r w:rsidR="001D1D40" w:rsidRPr="004C6B3D">
        <w:rPr>
          <w:rFonts w:ascii="Arial" w:hAnsi="Arial" w:cs="Arial"/>
          <w:i/>
          <w:sz w:val="20"/>
          <w:szCs w:val="20"/>
        </w:rPr>
        <w:t>.</w:t>
      </w:r>
    </w:p>
    <w:p w14:paraId="71566631" w14:textId="77777777" w:rsidR="0053409E" w:rsidRDefault="00E11712" w:rsidP="00E11712">
      <w:pPr>
        <w:jc w:val="both"/>
        <w:rPr>
          <w:rFonts w:ascii="Arial" w:hAnsi="Arial" w:cs="Arial"/>
          <w:i/>
          <w:sz w:val="20"/>
          <w:szCs w:val="20"/>
        </w:rPr>
      </w:pPr>
      <w:r w:rsidRPr="004C6B3D">
        <w:rPr>
          <w:rFonts w:ascii="Arial" w:hAnsi="Arial" w:cs="Arial"/>
          <w:i/>
          <w:sz w:val="20"/>
          <w:szCs w:val="20"/>
        </w:rPr>
        <w:t>En effet, les EPLE sont demandeurs d’une e</w:t>
      </w:r>
      <w:r w:rsidR="001D1D40" w:rsidRPr="004C6B3D">
        <w:rPr>
          <w:rFonts w:ascii="Arial" w:hAnsi="Arial" w:cs="Arial"/>
          <w:i/>
          <w:sz w:val="20"/>
          <w:szCs w:val="20"/>
        </w:rPr>
        <w:t xml:space="preserve">xpertise </w:t>
      </w:r>
      <w:r w:rsidRPr="004C6B3D">
        <w:rPr>
          <w:rFonts w:ascii="Arial" w:hAnsi="Arial" w:cs="Arial"/>
          <w:i/>
          <w:sz w:val="20"/>
          <w:szCs w:val="20"/>
        </w:rPr>
        <w:t xml:space="preserve">au niveau de la paie dont la réglementation se complexifie. A ce titre </w:t>
      </w:r>
      <w:r w:rsidR="001D1D40" w:rsidRPr="004C6B3D">
        <w:rPr>
          <w:rFonts w:ascii="Arial" w:hAnsi="Arial" w:cs="Arial"/>
          <w:i/>
          <w:sz w:val="20"/>
          <w:szCs w:val="20"/>
        </w:rPr>
        <w:t>la foncti</w:t>
      </w:r>
      <w:r w:rsidRPr="004C6B3D">
        <w:rPr>
          <w:rFonts w:ascii="Arial" w:hAnsi="Arial" w:cs="Arial"/>
          <w:i/>
          <w:sz w:val="20"/>
          <w:szCs w:val="20"/>
        </w:rPr>
        <w:t xml:space="preserve">on de référent académique paie </w:t>
      </w:r>
      <w:r w:rsidR="00F3368B" w:rsidRPr="004C6B3D">
        <w:rPr>
          <w:rFonts w:ascii="Arial" w:hAnsi="Arial" w:cs="Arial"/>
          <w:i/>
          <w:sz w:val="20"/>
          <w:szCs w:val="20"/>
        </w:rPr>
        <w:t>répondrait à un besoin identifié et croissant.</w:t>
      </w:r>
    </w:p>
    <w:p w14:paraId="1A9B6D0D" w14:textId="6BCCD20E" w:rsidR="004C6B3D" w:rsidRPr="00355EA9" w:rsidRDefault="009F2A69" w:rsidP="004C6B3D">
      <w:pPr>
        <w:pStyle w:val="Paragraphedeliste"/>
        <w:ind w:left="0"/>
        <w:jc w:val="both"/>
        <w:rPr>
          <w:rFonts w:ascii="Arial" w:hAnsi="Arial" w:cs="Arial"/>
          <w:b/>
          <w:color w:val="000000" w:themeColor="text1"/>
          <w:sz w:val="20"/>
          <w:szCs w:val="20"/>
          <w:u w:val="single"/>
        </w:rPr>
      </w:pPr>
      <w:r w:rsidRPr="00355EA9">
        <w:rPr>
          <w:rFonts w:ascii="Arial" w:hAnsi="Arial" w:cs="Arial"/>
          <w:b/>
          <w:color w:val="000000" w:themeColor="text1"/>
          <w:sz w:val="20"/>
          <w:szCs w:val="20"/>
          <w:u w:val="single"/>
        </w:rPr>
        <w:t xml:space="preserve">IV </w:t>
      </w:r>
      <w:r w:rsidR="00C44380" w:rsidRPr="00355EA9">
        <w:rPr>
          <w:rFonts w:ascii="Arial" w:hAnsi="Arial" w:cs="Arial"/>
          <w:b/>
          <w:color w:val="000000" w:themeColor="text1"/>
          <w:sz w:val="20"/>
          <w:szCs w:val="20"/>
          <w:u w:val="single"/>
        </w:rPr>
        <w:t>Des ressources à consolider</w:t>
      </w:r>
      <w:r w:rsidR="00C44380" w:rsidRPr="00355EA9">
        <w:rPr>
          <w:b/>
          <w:color w:val="000000" w:themeColor="text1"/>
          <w:u w:val="single"/>
        </w:rPr>
        <w:t> </w:t>
      </w:r>
      <w:r w:rsidR="003428AD" w:rsidRPr="00355EA9">
        <w:rPr>
          <w:rFonts w:ascii="Arial" w:hAnsi="Arial" w:cs="Arial"/>
          <w:b/>
          <w:color w:val="000000" w:themeColor="text1"/>
          <w:sz w:val="20"/>
          <w:szCs w:val="20"/>
          <w:u w:val="single"/>
        </w:rPr>
        <w:t> :</w:t>
      </w:r>
      <w:r w:rsidR="004C6B3D" w:rsidRPr="00355EA9">
        <w:rPr>
          <w:rFonts w:ascii="Arial" w:hAnsi="Arial" w:cs="Arial"/>
          <w:b/>
          <w:color w:val="000000" w:themeColor="text1"/>
          <w:sz w:val="20"/>
          <w:szCs w:val="20"/>
          <w:u w:val="single"/>
        </w:rPr>
        <w:t xml:space="preserve"> </w:t>
      </w:r>
    </w:p>
    <w:p w14:paraId="57B339F4" w14:textId="77777777" w:rsidR="003428AD" w:rsidRDefault="003428AD" w:rsidP="003428AD">
      <w:pPr>
        <w:jc w:val="both"/>
        <w:rPr>
          <w:rFonts w:ascii="Arial" w:hAnsi="Arial" w:cs="Arial"/>
          <w:sz w:val="20"/>
          <w:szCs w:val="20"/>
        </w:rPr>
      </w:pPr>
      <w:r>
        <w:rPr>
          <w:rFonts w:ascii="Arial" w:hAnsi="Arial" w:cs="Arial"/>
          <w:sz w:val="20"/>
          <w:szCs w:val="20"/>
        </w:rPr>
        <w:t>Outre le « vademecum de l’adjoint gestionnaire »</w:t>
      </w:r>
      <w:r w:rsidR="000E4E4E">
        <w:rPr>
          <w:rFonts w:ascii="Arial" w:hAnsi="Arial" w:cs="Arial"/>
          <w:sz w:val="20"/>
          <w:szCs w:val="20"/>
        </w:rPr>
        <w:t xml:space="preserve"> disponible sur le site du MENJS</w:t>
      </w:r>
      <w:r>
        <w:rPr>
          <w:rFonts w:ascii="Arial" w:hAnsi="Arial" w:cs="Arial"/>
          <w:sz w:val="20"/>
          <w:szCs w:val="20"/>
        </w:rPr>
        <w:t xml:space="preserve">, </w:t>
      </w:r>
      <w:r w:rsidR="000E4E4E">
        <w:rPr>
          <w:rFonts w:ascii="Arial" w:hAnsi="Arial" w:cs="Arial"/>
          <w:sz w:val="20"/>
          <w:szCs w:val="20"/>
        </w:rPr>
        <w:t xml:space="preserve">des </w:t>
      </w:r>
      <w:r>
        <w:rPr>
          <w:rFonts w:ascii="Arial" w:hAnsi="Arial" w:cs="Arial"/>
          <w:sz w:val="20"/>
          <w:szCs w:val="20"/>
        </w:rPr>
        <w:t xml:space="preserve">académies </w:t>
      </w:r>
      <w:r w:rsidR="000E4E4E">
        <w:rPr>
          <w:rFonts w:ascii="Arial" w:hAnsi="Arial" w:cs="Arial"/>
          <w:sz w:val="20"/>
          <w:szCs w:val="20"/>
        </w:rPr>
        <w:t xml:space="preserve">mettent </w:t>
      </w:r>
      <w:r>
        <w:rPr>
          <w:rFonts w:ascii="Arial" w:hAnsi="Arial" w:cs="Arial"/>
          <w:sz w:val="20"/>
          <w:szCs w:val="20"/>
        </w:rPr>
        <w:t xml:space="preserve">des </w:t>
      </w:r>
      <w:r w:rsidR="000E4E4E">
        <w:rPr>
          <w:rFonts w:ascii="Arial" w:hAnsi="Arial" w:cs="Arial"/>
          <w:sz w:val="20"/>
          <w:szCs w:val="20"/>
        </w:rPr>
        <w:t>ressources (F.A.Q., fiches de procédures, fascicules etc.)</w:t>
      </w:r>
      <w:r w:rsidR="000E4E4E" w:rsidRPr="000E4E4E">
        <w:rPr>
          <w:rFonts w:ascii="Arial" w:hAnsi="Arial" w:cs="Arial"/>
          <w:sz w:val="20"/>
          <w:szCs w:val="20"/>
        </w:rPr>
        <w:t xml:space="preserve"> </w:t>
      </w:r>
      <w:r w:rsidR="000E4E4E">
        <w:rPr>
          <w:rFonts w:ascii="Arial" w:hAnsi="Arial" w:cs="Arial"/>
          <w:sz w:val="20"/>
          <w:szCs w:val="20"/>
        </w:rPr>
        <w:t>à disposition des agents sur l’intranet académique ou les</w:t>
      </w:r>
      <w:r w:rsidR="00813DAB">
        <w:rPr>
          <w:rFonts w:ascii="Arial" w:hAnsi="Arial" w:cs="Arial"/>
          <w:sz w:val="20"/>
          <w:szCs w:val="20"/>
        </w:rPr>
        <w:t xml:space="preserve"> distribuent lors de formations.</w:t>
      </w:r>
    </w:p>
    <w:p w14:paraId="11C32241" w14:textId="77777777" w:rsidR="003428AD" w:rsidRDefault="003428AD" w:rsidP="003428AD">
      <w:pPr>
        <w:jc w:val="both"/>
        <w:rPr>
          <w:rFonts w:ascii="Arial" w:hAnsi="Arial" w:cs="Arial"/>
          <w:sz w:val="20"/>
          <w:szCs w:val="20"/>
        </w:rPr>
      </w:pPr>
      <w:r>
        <w:rPr>
          <w:rFonts w:ascii="Arial" w:hAnsi="Arial" w:cs="Arial"/>
          <w:sz w:val="20"/>
          <w:szCs w:val="20"/>
        </w:rPr>
        <w:t xml:space="preserve">A ce stade, il apparaît opportun d’identifier l’ensemble des ressources existantes afin de les mutualiser. A cette fin, les services académiques pourront être mobilisés pour le recensement, le regroupement et la mise à disposition des ressources documentaires sur une plateforme numérique consultable par les agents. </w:t>
      </w:r>
    </w:p>
    <w:p w14:paraId="0605DE93" w14:textId="77777777" w:rsidR="00C44380" w:rsidRPr="00355EA9" w:rsidRDefault="00C44380" w:rsidP="003428AD">
      <w:pPr>
        <w:jc w:val="both"/>
        <w:rPr>
          <w:rFonts w:ascii="Arial" w:hAnsi="Arial" w:cs="Arial"/>
          <w:color w:val="000000" w:themeColor="text1"/>
          <w:sz w:val="20"/>
          <w:szCs w:val="20"/>
        </w:rPr>
      </w:pPr>
      <w:r w:rsidRPr="00355EA9">
        <w:rPr>
          <w:rFonts w:ascii="Arial" w:hAnsi="Arial" w:cs="Arial"/>
          <w:iCs/>
          <w:color w:val="000000" w:themeColor="text1"/>
          <w:sz w:val="20"/>
          <w:szCs w:val="20"/>
        </w:rPr>
        <w:t>Outre ces ressources, il convient de s’interroger sur le développement de nouvelles missions d’expertise, au sein des services académiques. Celles-ci seraient confiées à des AAE exerçant des fonctions de chargés d’études, au côté des personnels encadrants les gestionnaires. Les champs d’expertise pourraient être complémentaires de ceux assurés par les gestionnaires chargés de missions d’expertise pour les activités des EPLE ou couvrir d’autres domaines d’activité (RH, finances-budget, etc.). Le développement de telles missions offrirait aux AAE des perspectives de carrière différentes, en tant qu’experts, en plus des fonctions habituelles de managers. </w:t>
      </w:r>
    </w:p>
    <w:p w14:paraId="2A386167" w14:textId="77777777" w:rsidR="00C44380" w:rsidRPr="003428AD" w:rsidRDefault="00C44380" w:rsidP="003428AD">
      <w:pPr>
        <w:jc w:val="both"/>
        <w:rPr>
          <w:rFonts w:ascii="Arial" w:hAnsi="Arial" w:cs="Arial"/>
          <w:sz w:val="20"/>
          <w:szCs w:val="20"/>
        </w:rPr>
      </w:pPr>
    </w:p>
    <w:p w14:paraId="2500D284" w14:textId="77777777" w:rsidR="004C6B3D" w:rsidRPr="004C6B3D" w:rsidRDefault="004C6B3D" w:rsidP="004C6B3D">
      <w:pPr>
        <w:pStyle w:val="Paragraphedeliste"/>
        <w:ind w:left="0"/>
      </w:pPr>
    </w:p>
    <w:sectPr w:rsidR="004C6B3D" w:rsidRPr="004C6B3D" w:rsidSect="0052577A">
      <w:headerReference w:type="default" r:id="rId10"/>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5D273" w14:textId="77777777" w:rsidR="002009C1" w:rsidRDefault="002009C1" w:rsidP="00530809">
      <w:pPr>
        <w:spacing w:after="0" w:line="240" w:lineRule="auto"/>
      </w:pPr>
      <w:r>
        <w:separator/>
      </w:r>
    </w:p>
  </w:endnote>
  <w:endnote w:type="continuationSeparator" w:id="0">
    <w:p w14:paraId="0EA79C83" w14:textId="77777777" w:rsidR="002009C1" w:rsidRDefault="002009C1" w:rsidP="0053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EB31" w14:textId="42F62FAB" w:rsidR="000F19AA" w:rsidRDefault="00767028" w:rsidP="00767028">
    <w:pPr>
      <w:pStyle w:val="Pieddepage"/>
      <w:jc w:val="right"/>
    </w:pPr>
    <w:r>
      <w:t xml:space="preserve">Page </w:t>
    </w:r>
    <w:r>
      <w:rPr>
        <w:b/>
      </w:rPr>
      <w:fldChar w:fldCharType="begin"/>
    </w:r>
    <w:r>
      <w:rPr>
        <w:b/>
      </w:rPr>
      <w:instrText>PAGE  \* Arabic  \* MERGEFORMAT</w:instrText>
    </w:r>
    <w:r>
      <w:rPr>
        <w:b/>
      </w:rPr>
      <w:fldChar w:fldCharType="separate"/>
    </w:r>
    <w:r w:rsidR="007A55E4">
      <w:rPr>
        <w:b/>
        <w:noProof/>
      </w:rPr>
      <w:t>1</w:t>
    </w:r>
    <w:r>
      <w:rPr>
        <w:b/>
      </w:rPr>
      <w:fldChar w:fldCharType="end"/>
    </w:r>
    <w:r>
      <w:t xml:space="preserve"> sur </w:t>
    </w:r>
    <w:r>
      <w:rPr>
        <w:b/>
      </w:rPr>
      <w:fldChar w:fldCharType="begin"/>
    </w:r>
    <w:r>
      <w:rPr>
        <w:b/>
      </w:rPr>
      <w:instrText>NUMPAGES  \* Arabic  \* MERGEFORMAT</w:instrText>
    </w:r>
    <w:r>
      <w:rPr>
        <w:b/>
      </w:rPr>
      <w:fldChar w:fldCharType="separate"/>
    </w:r>
    <w:r w:rsidR="007A55E4">
      <w:rPr>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3F33" w14:textId="77777777" w:rsidR="002009C1" w:rsidRDefault="002009C1" w:rsidP="00530809">
      <w:pPr>
        <w:spacing w:after="0" w:line="240" w:lineRule="auto"/>
      </w:pPr>
      <w:r>
        <w:separator/>
      </w:r>
    </w:p>
  </w:footnote>
  <w:footnote w:type="continuationSeparator" w:id="0">
    <w:p w14:paraId="6F66EE0F" w14:textId="77777777" w:rsidR="002009C1" w:rsidRDefault="002009C1" w:rsidP="00530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729C" w14:textId="77777777" w:rsidR="00530809" w:rsidRPr="00355EA9" w:rsidRDefault="000F19AA" w:rsidP="00530809">
    <w:pPr>
      <w:pStyle w:val="En-tte"/>
      <w:pBdr>
        <w:bottom w:val="single" w:sz="12" w:space="1" w:color="auto"/>
      </w:pBdr>
      <w:rPr>
        <w:b/>
        <w:color w:val="C00000"/>
        <w:lang w:val="en-US"/>
      </w:rPr>
    </w:pPr>
    <w:r w:rsidRPr="00355EA9">
      <w:rPr>
        <w:b/>
        <w:color w:val="C00000"/>
        <w:lang w:val="en-US"/>
      </w:rPr>
      <w:t xml:space="preserve">DGRH </w:t>
    </w:r>
    <w:r w:rsidR="00AD7A21" w:rsidRPr="00355EA9">
      <w:rPr>
        <w:b/>
        <w:color w:val="C00000"/>
        <w:lang w:val="en-US"/>
      </w:rPr>
      <w:t>C</w:t>
    </w:r>
    <w:r w:rsidR="00530809" w:rsidRPr="00355EA9">
      <w:rPr>
        <w:b/>
        <w:color w:val="C00000"/>
        <w:lang w:val="en-US"/>
      </w:rPr>
      <w:t>2 / Sept.</w:t>
    </w:r>
    <w:r w:rsidR="00A44901" w:rsidRPr="00355EA9">
      <w:rPr>
        <w:b/>
        <w:color w:val="C00000"/>
        <w:lang w:val="en-US"/>
      </w:rPr>
      <w:t xml:space="preserve"> - Oct.</w:t>
    </w:r>
    <w:r w:rsidR="00530809" w:rsidRPr="00355EA9">
      <w:rPr>
        <w:b/>
        <w:color w:val="C00000"/>
        <w:lang w:val="en-US"/>
      </w:rPr>
      <w:t xml:space="preserve"> 2020</w:t>
    </w:r>
    <w:r w:rsidR="00530809" w:rsidRPr="00355EA9">
      <w:rPr>
        <w:b/>
        <w:color w:val="C00000"/>
        <w:lang w:val="en-US"/>
      </w:rPr>
      <w:tab/>
    </w:r>
    <w:r w:rsidR="00530809" w:rsidRPr="00355EA9">
      <w:rPr>
        <w:b/>
        <w:color w:val="C00000"/>
        <w:lang w:val="en-US"/>
      </w:rPr>
      <w:tab/>
      <w:t>Agenda social 2021</w:t>
    </w:r>
  </w:p>
  <w:p w14:paraId="4B5AB345" w14:textId="77777777" w:rsidR="00530809" w:rsidRPr="00355EA9" w:rsidRDefault="00530809">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A4D"/>
    <w:multiLevelType w:val="hybridMultilevel"/>
    <w:tmpl w:val="8FB0CCF4"/>
    <w:lvl w:ilvl="0" w:tplc="E976DEF8">
      <w:start w:val="1"/>
      <w:numFmt w:val="decimal"/>
      <w:lvlText w:val="%1-"/>
      <w:lvlJc w:val="left"/>
      <w:pPr>
        <w:ind w:left="720" w:hanging="360"/>
      </w:pPr>
      <w:rPr>
        <w:strike w:val="0"/>
        <w:dstrike w:val="0"/>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E7437ED"/>
    <w:multiLevelType w:val="hybridMultilevel"/>
    <w:tmpl w:val="04A44888"/>
    <w:lvl w:ilvl="0" w:tplc="4BECEC90">
      <w:start w:val="1"/>
      <w:numFmt w:val="bullet"/>
      <w:lvlText w:val=""/>
      <w:lvlJc w:val="left"/>
      <w:pPr>
        <w:ind w:left="2190" w:hanging="360"/>
      </w:pPr>
      <w:rPr>
        <w:rFonts w:ascii="Symbol" w:hAnsi="Symbol"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2" w15:restartNumberingAfterBreak="0">
    <w:nsid w:val="1384577E"/>
    <w:multiLevelType w:val="hybridMultilevel"/>
    <w:tmpl w:val="78943D2C"/>
    <w:lvl w:ilvl="0" w:tplc="0C6E349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4E41532"/>
    <w:multiLevelType w:val="hybridMultilevel"/>
    <w:tmpl w:val="3E7A4834"/>
    <w:lvl w:ilvl="0" w:tplc="67769F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2627E2"/>
    <w:multiLevelType w:val="hybridMultilevel"/>
    <w:tmpl w:val="919216D8"/>
    <w:lvl w:ilvl="0" w:tplc="B9E28C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2A7156"/>
    <w:multiLevelType w:val="hybridMultilevel"/>
    <w:tmpl w:val="9AAE918C"/>
    <w:lvl w:ilvl="0" w:tplc="03E81E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DF02B8"/>
    <w:multiLevelType w:val="hybridMultilevel"/>
    <w:tmpl w:val="86F6FF6A"/>
    <w:lvl w:ilvl="0" w:tplc="F5B6D4A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4D2652"/>
    <w:multiLevelType w:val="hybridMultilevel"/>
    <w:tmpl w:val="814CAAA4"/>
    <w:lvl w:ilvl="0" w:tplc="E55A2CC2">
      <w:numFmt w:val="bullet"/>
      <w:lvlText w:val="&gt;"/>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D4"/>
    <w:rsid w:val="000138E1"/>
    <w:rsid w:val="000144F9"/>
    <w:rsid w:val="0003683D"/>
    <w:rsid w:val="000428D3"/>
    <w:rsid w:val="000C0369"/>
    <w:rsid w:val="000E4E4E"/>
    <w:rsid w:val="000F19AA"/>
    <w:rsid w:val="0014491B"/>
    <w:rsid w:val="001B3B9A"/>
    <w:rsid w:val="001D1D40"/>
    <w:rsid w:val="002009C1"/>
    <w:rsid w:val="002812FE"/>
    <w:rsid w:val="002E16C6"/>
    <w:rsid w:val="0030362C"/>
    <w:rsid w:val="003428AD"/>
    <w:rsid w:val="00355EA9"/>
    <w:rsid w:val="00374589"/>
    <w:rsid w:val="003A4500"/>
    <w:rsid w:val="003A78B0"/>
    <w:rsid w:val="003E606A"/>
    <w:rsid w:val="003F06A1"/>
    <w:rsid w:val="00475772"/>
    <w:rsid w:val="004B0375"/>
    <w:rsid w:val="004C6B3D"/>
    <w:rsid w:val="0052577A"/>
    <w:rsid w:val="00530809"/>
    <w:rsid w:val="0053409E"/>
    <w:rsid w:val="00557D8F"/>
    <w:rsid w:val="00590445"/>
    <w:rsid w:val="005A1FAB"/>
    <w:rsid w:val="00615AC0"/>
    <w:rsid w:val="006C5615"/>
    <w:rsid w:val="006D149F"/>
    <w:rsid w:val="00721FB2"/>
    <w:rsid w:val="00767028"/>
    <w:rsid w:val="00774877"/>
    <w:rsid w:val="007800BA"/>
    <w:rsid w:val="00797BC7"/>
    <w:rsid w:val="007A55E4"/>
    <w:rsid w:val="007D6F42"/>
    <w:rsid w:val="007F5B32"/>
    <w:rsid w:val="008004DA"/>
    <w:rsid w:val="00813DAB"/>
    <w:rsid w:val="008264B8"/>
    <w:rsid w:val="008405DB"/>
    <w:rsid w:val="008D76BF"/>
    <w:rsid w:val="008E4842"/>
    <w:rsid w:val="0092156B"/>
    <w:rsid w:val="009D0C9B"/>
    <w:rsid w:val="009F2A69"/>
    <w:rsid w:val="009F5557"/>
    <w:rsid w:val="00A44901"/>
    <w:rsid w:val="00AD7A21"/>
    <w:rsid w:val="00AE4B79"/>
    <w:rsid w:val="00AF20D4"/>
    <w:rsid w:val="00B07EDF"/>
    <w:rsid w:val="00B27FBA"/>
    <w:rsid w:val="00B55399"/>
    <w:rsid w:val="00BE26A8"/>
    <w:rsid w:val="00C44380"/>
    <w:rsid w:val="00D11F33"/>
    <w:rsid w:val="00D43F41"/>
    <w:rsid w:val="00D825EA"/>
    <w:rsid w:val="00DB0A7D"/>
    <w:rsid w:val="00DC66EA"/>
    <w:rsid w:val="00DE6E97"/>
    <w:rsid w:val="00DF4CB7"/>
    <w:rsid w:val="00DF734E"/>
    <w:rsid w:val="00E10CCA"/>
    <w:rsid w:val="00E11712"/>
    <w:rsid w:val="00E76619"/>
    <w:rsid w:val="00F16227"/>
    <w:rsid w:val="00F3368B"/>
    <w:rsid w:val="00F443AA"/>
    <w:rsid w:val="00F80388"/>
    <w:rsid w:val="00F95E93"/>
    <w:rsid w:val="00FA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1ECC"/>
  <w15:docId w15:val="{84E112DD-0E12-4866-BF29-2A077A59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904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74589"/>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374589"/>
    <w:pPr>
      <w:spacing w:before="100" w:beforeAutospacing="1" w:after="100" w:afterAutospacing="1" w:line="240" w:lineRule="auto"/>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1D40"/>
    <w:pPr>
      <w:ind w:left="720"/>
      <w:contextualSpacing/>
    </w:pPr>
  </w:style>
  <w:style w:type="paragraph" w:styleId="Textedebulles">
    <w:name w:val="Balloon Text"/>
    <w:basedOn w:val="Normal"/>
    <w:link w:val="TextedebullesCar"/>
    <w:uiPriority w:val="99"/>
    <w:semiHidden/>
    <w:unhideWhenUsed/>
    <w:rsid w:val="005308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809"/>
    <w:rPr>
      <w:rFonts w:ascii="Segoe UI" w:hAnsi="Segoe UI" w:cs="Segoe UI"/>
      <w:sz w:val="18"/>
      <w:szCs w:val="18"/>
    </w:rPr>
  </w:style>
  <w:style w:type="table" w:styleId="Grilledutableau">
    <w:name w:val="Table Grid"/>
    <w:basedOn w:val="TableauNormal"/>
    <w:uiPriority w:val="59"/>
    <w:rsid w:val="0053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30809"/>
    <w:pPr>
      <w:tabs>
        <w:tab w:val="center" w:pos="4536"/>
        <w:tab w:val="right" w:pos="9072"/>
      </w:tabs>
      <w:spacing w:after="0" w:line="240" w:lineRule="auto"/>
    </w:pPr>
  </w:style>
  <w:style w:type="character" w:customStyle="1" w:styleId="En-tteCar">
    <w:name w:val="En-tête Car"/>
    <w:basedOn w:val="Policepardfaut"/>
    <w:link w:val="En-tte"/>
    <w:uiPriority w:val="99"/>
    <w:rsid w:val="00530809"/>
  </w:style>
  <w:style w:type="paragraph" w:styleId="Pieddepage">
    <w:name w:val="footer"/>
    <w:basedOn w:val="Normal"/>
    <w:link w:val="PieddepageCar"/>
    <w:uiPriority w:val="99"/>
    <w:unhideWhenUsed/>
    <w:rsid w:val="005308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0809"/>
  </w:style>
  <w:style w:type="character" w:customStyle="1" w:styleId="Titre2Car">
    <w:name w:val="Titre 2 Car"/>
    <w:basedOn w:val="Policepardfaut"/>
    <w:link w:val="Titre2"/>
    <w:uiPriority w:val="9"/>
    <w:rsid w:val="00374589"/>
    <w:rPr>
      <w:rFonts w:eastAsia="Times New Roman" w:cs="Times New Roman"/>
      <w:b/>
      <w:bCs/>
      <w:sz w:val="36"/>
      <w:szCs w:val="36"/>
      <w:lang w:eastAsia="fr-FR"/>
    </w:rPr>
  </w:style>
  <w:style w:type="character" w:customStyle="1" w:styleId="Titre3Car">
    <w:name w:val="Titre 3 Car"/>
    <w:basedOn w:val="Policepardfaut"/>
    <w:link w:val="Titre3"/>
    <w:uiPriority w:val="9"/>
    <w:rsid w:val="00374589"/>
    <w:rPr>
      <w:rFonts w:eastAsia="Times New Roman" w:cs="Times New Roman"/>
      <w:b/>
      <w:bCs/>
      <w:sz w:val="27"/>
      <w:szCs w:val="27"/>
      <w:lang w:eastAsia="fr-FR"/>
    </w:rPr>
  </w:style>
  <w:style w:type="character" w:customStyle="1" w:styleId="hgkelc">
    <w:name w:val="hgkelc"/>
    <w:basedOn w:val="Policepardfaut"/>
    <w:rsid w:val="00615AC0"/>
  </w:style>
  <w:style w:type="character" w:styleId="Lienhypertexte">
    <w:name w:val="Hyperlink"/>
    <w:basedOn w:val="Policepardfaut"/>
    <w:uiPriority w:val="99"/>
    <w:unhideWhenUsed/>
    <w:rsid w:val="00797BC7"/>
    <w:rPr>
      <w:color w:val="0000FF"/>
      <w:u w:val="single"/>
    </w:rPr>
  </w:style>
  <w:style w:type="character" w:customStyle="1" w:styleId="Titre1Car">
    <w:name w:val="Titre 1 Car"/>
    <w:basedOn w:val="Policepardfaut"/>
    <w:link w:val="Titre1"/>
    <w:uiPriority w:val="9"/>
    <w:rsid w:val="00590445"/>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1B3B9A"/>
    <w:rPr>
      <w:sz w:val="16"/>
      <w:szCs w:val="16"/>
    </w:rPr>
  </w:style>
  <w:style w:type="paragraph" w:styleId="Commentaire">
    <w:name w:val="annotation text"/>
    <w:basedOn w:val="Normal"/>
    <w:link w:val="CommentaireCar"/>
    <w:uiPriority w:val="99"/>
    <w:semiHidden/>
    <w:unhideWhenUsed/>
    <w:rsid w:val="001B3B9A"/>
    <w:pPr>
      <w:spacing w:line="240" w:lineRule="auto"/>
    </w:pPr>
    <w:rPr>
      <w:sz w:val="20"/>
      <w:szCs w:val="20"/>
    </w:rPr>
  </w:style>
  <w:style w:type="character" w:customStyle="1" w:styleId="CommentaireCar">
    <w:name w:val="Commentaire Car"/>
    <w:basedOn w:val="Policepardfaut"/>
    <w:link w:val="Commentaire"/>
    <w:uiPriority w:val="99"/>
    <w:semiHidden/>
    <w:rsid w:val="001B3B9A"/>
    <w:rPr>
      <w:sz w:val="20"/>
      <w:szCs w:val="20"/>
    </w:rPr>
  </w:style>
  <w:style w:type="paragraph" w:styleId="Objetducommentaire">
    <w:name w:val="annotation subject"/>
    <w:basedOn w:val="Commentaire"/>
    <w:next w:val="Commentaire"/>
    <w:link w:val="ObjetducommentaireCar"/>
    <w:uiPriority w:val="99"/>
    <w:semiHidden/>
    <w:unhideWhenUsed/>
    <w:rsid w:val="001B3B9A"/>
    <w:rPr>
      <w:b/>
      <w:bCs/>
    </w:rPr>
  </w:style>
  <w:style w:type="character" w:customStyle="1" w:styleId="ObjetducommentaireCar">
    <w:name w:val="Objet du commentaire Car"/>
    <w:basedOn w:val="CommentaireCar"/>
    <w:link w:val="Objetducommentaire"/>
    <w:uiPriority w:val="99"/>
    <w:semiHidden/>
    <w:rsid w:val="001B3B9A"/>
    <w:rPr>
      <w:b/>
      <w:bCs/>
      <w:sz w:val="20"/>
      <w:szCs w:val="20"/>
    </w:rPr>
  </w:style>
  <w:style w:type="character" w:styleId="Lienhypertextesuivivisit">
    <w:name w:val="FollowedHyperlink"/>
    <w:basedOn w:val="Policepardfaut"/>
    <w:uiPriority w:val="99"/>
    <w:semiHidden/>
    <w:unhideWhenUsed/>
    <w:rsid w:val="00475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96803">
      <w:bodyDiv w:val="1"/>
      <w:marLeft w:val="0"/>
      <w:marRight w:val="0"/>
      <w:marTop w:val="0"/>
      <w:marBottom w:val="0"/>
      <w:divBdr>
        <w:top w:val="none" w:sz="0" w:space="0" w:color="auto"/>
        <w:left w:val="none" w:sz="0" w:space="0" w:color="auto"/>
        <w:bottom w:val="none" w:sz="0" w:space="0" w:color="auto"/>
        <w:right w:val="none" w:sz="0" w:space="0" w:color="auto"/>
      </w:divBdr>
    </w:div>
    <w:div w:id="1568108141">
      <w:bodyDiv w:val="1"/>
      <w:marLeft w:val="0"/>
      <w:marRight w:val="0"/>
      <w:marTop w:val="0"/>
      <w:marBottom w:val="0"/>
      <w:divBdr>
        <w:top w:val="none" w:sz="0" w:space="0" w:color="auto"/>
        <w:left w:val="none" w:sz="0" w:space="0" w:color="auto"/>
        <w:bottom w:val="none" w:sz="0" w:space="0" w:color="auto"/>
        <w:right w:val="none" w:sz="0" w:space="0" w:color="auto"/>
      </w:divBdr>
    </w:div>
    <w:div w:id="1665669255">
      <w:bodyDiv w:val="1"/>
      <w:marLeft w:val="0"/>
      <w:marRight w:val="0"/>
      <w:marTop w:val="0"/>
      <w:marBottom w:val="0"/>
      <w:divBdr>
        <w:top w:val="none" w:sz="0" w:space="0" w:color="auto"/>
        <w:left w:val="none" w:sz="0" w:space="0" w:color="auto"/>
        <w:bottom w:val="none" w:sz="0" w:space="0" w:color="auto"/>
        <w:right w:val="none" w:sz="0" w:space="0" w:color="auto"/>
      </w:divBdr>
    </w:div>
    <w:div w:id="2006207008">
      <w:bodyDiv w:val="1"/>
      <w:marLeft w:val="0"/>
      <w:marRight w:val="0"/>
      <w:marTop w:val="0"/>
      <w:marBottom w:val="0"/>
      <w:divBdr>
        <w:top w:val="none" w:sz="0" w:space="0" w:color="auto"/>
        <w:left w:val="none" w:sz="0" w:space="0" w:color="auto"/>
        <w:bottom w:val="none" w:sz="0" w:space="0" w:color="auto"/>
        <w:right w:val="none" w:sz="0" w:space="0" w:color="auto"/>
      </w:divBdr>
      <w:divsChild>
        <w:div w:id="969289284">
          <w:marLeft w:val="0"/>
          <w:marRight w:val="0"/>
          <w:marTop w:val="0"/>
          <w:marBottom w:val="0"/>
          <w:divBdr>
            <w:top w:val="none" w:sz="0" w:space="0" w:color="auto"/>
            <w:left w:val="none" w:sz="0" w:space="0" w:color="auto"/>
            <w:bottom w:val="none" w:sz="0" w:space="0" w:color="auto"/>
            <w:right w:val="none" w:sz="0" w:space="0" w:color="auto"/>
          </w:divBdr>
          <w:divsChild>
            <w:div w:id="15900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irh.ac-lyon.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tion.gouv.fr/sites/default/files/2019-12/fiche-de-poste-conseiller-rh-de-proximit--140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3DB35-209B-4DF6-87DB-54EA96B9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1478</Words>
  <Characters>8132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DAVID HERLICOVIEZ</cp:lastModifiedBy>
  <cp:revision>3</cp:revision>
  <cp:lastPrinted>2020-10-05T13:44:00Z</cp:lastPrinted>
  <dcterms:created xsi:type="dcterms:W3CDTF">2020-10-07T10:05:00Z</dcterms:created>
  <dcterms:modified xsi:type="dcterms:W3CDTF">2020-10-07T12:32:00Z</dcterms:modified>
</cp:coreProperties>
</file>